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附件1</w:t>
      </w:r>
    </w:p>
    <w:p>
      <w:pPr>
        <w:ind w:right="-2"/>
        <w:jc w:val="center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菏泽国投管理咨询有限公司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招聘报名表</w:t>
      </w:r>
    </w:p>
    <w:tbl>
      <w:tblPr>
        <w:tblStyle w:val="4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val="en-US" w:eastAsia="zh-CN"/>
              </w:rPr>
              <w:t>是否同意公司统一薪酬意见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家庭主要成员及重要社会关系 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称谓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71D1B"/>
    <w:rsid w:val="03D75593"/>
    <w:rsid w:val="079B13BC"/>
    <w:rsid w:val="0FFE61B2"/>
    <w:rsid w:val="3B571D1B"/>
    <w:rsid w:val="47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ぺ灬cc果冻ル</cp:lastModifiedBy>
  <dcterms:modified xsi:type="dcterms:W3CDTF">2021-01-28T09:51:32Z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