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2"/>
        <w:gridCol w:w="1233"/>
        <w:gridCol w:w="695"/>
        <w:gridCol w:w="1616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黑体" w:hAnsi="宋体" w:eastAsia="黑体" w:cs="黑体"/>
                <w:b/>
                <w:i w:val="0"/>
                <w:caps w:val="0"/>
                <w:color w:val="505050"/>
                <w:spacing w:val="0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505050"/>
                <w:spacing w:val="0"/>
                <w:sz w:val="18"/>
                <w:szCs w:val="18"/>
              </w:rPr>
              <w:t>招聘专业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505050"/>
                <w:spacing w:val="0"/>
                <w:sz w:val="18"/>
                <w:szCs w:val="18"/>
              </w:rPr>
              <w:t>招聘计划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505050"/>
                <w:spacing w:val="0"/>
                <w:sz w:val="18"/>
                <w:szCs w:val="18"/>
              </w:rPr>
              <w:t>学历学位要求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505050"/>
                <w:spacing w:val="0"/>
                <w:sz w:val="18"/>
                <w:szCs w:val="18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护理特殊岗位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高中起点全日制大专及以上学历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男性，具有护士资格证书，1996年1月1日及以后出生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急诊医学科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临床医学；内科学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全日制大学、学士学位及以上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具有执业医师资格，规培合格，1987年1月1日及以后出生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超声医学科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医学影像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全日制大学、学士学位及以上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具有执业医师资格，规培合格，1987年1月1日及以后出生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放射科等相关科室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医学影像；影像技术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全日制大学、学士学位及以上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1993年1月1日及以后出生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心电诊断科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全日制大学、学士学位及以上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具有执业医师资格，1987年1月1日及以后出生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神经内科神经电生理室（脑电图/肌电图室）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全日制大学、学士学位及以上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1993年1月1日及以后出生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药品调剂科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全日制大学、学士学位及以上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1993年1月1日及以后出生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眼科特检室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全日制大学、学士学位及以上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1993年1月1日及以后出生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心血管内科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内科学（心血管方向）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全日制硕士研究生及以上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具有执业医师资格，1987年1月1日及以后出生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05050"/>
                <w:spacing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2B12"/>
    <w:rsid w:val="111B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2021-08-17T02:49:00Z</dcterms:created>
  <dc:creator>张翠</dc:creator>
  <cp:lastModifiedBy>张翠</cp:lastModifiedBy>
  <dcterms:modified xsi:type="dcterms:W3CDTF">2021-08-17T02:51:28Z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