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92" w:type="dxa"/>
        <w:tblInd w:w="0" w:type="dxa"/>
        <w:tblBorders>
          <w:top w:val="single" w:color="ADD9C0" w:sz="4" w:space="0"/>
          <w:left w:val="single" w:color="ADD9C0" w:sz="4" w:space="0"/>
          <w:bottom w:val="single" w:color="ADD9C0" w:sz="4" w:space="0"/>
          <w:right w:val="single" w:color="ADD9C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3"/>
        <w:gridCol w:w="1802"/>
        <w:gridCol w:w="1783"/>
        <w:gridCol w:w="2096"/>
        <w:gridCol w:w="2758"/>
      </w:tblGrid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6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层次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遇</w:t>
            </w:r>
          </w:p>
        </w:tc>
        <w:tc>
          <w:tcPr>
            <w:tcW w:w="1176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安家费</w:t>
            </w:r>
          </w:p>
        </w:tc>
        <w:tc>
          <w:tcPr>
            <w:tcW w:w="11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科研启动经费</w:t>
            </w:r>
          </w:p>
        </w:tc>
        <w:tc>
          <w:tcPr>
            <w:tcW w:w="136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首次聘期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人才绩效</w:t>
            </w:r>
          </w:p>
        </w:tc>
        <w:tc>
          <w:tcPr>
            <w:tcW w:w="180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6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A类博士</w:t>
            </w:r>
          </w:p>
        </w:tc>
        <w:tc>
          <w:tcPr>
            <w:tcW w:w="1176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30万</w:t>
            </w:r>
          </w:p>
        </w:tc>
        <w:tc>
          <w:tcPr>
            <w:tcW w:w="11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10-100万</w:t>
            </w:r>
          </w:p>
        </w:tc>
        <w:tc>
          <w:tcPr>
            <w:tcW w:w="136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3000元/月</w:t>
            </w:r>
          </w:p>
        </w:tc>
        <w:tc>
          <w:tcPr>
            <w:tcW w:w="1800" w:type="dxa"/>
            <w:vMerge w:val="restart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享受副教授待遇。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6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B类博士</w:t>
            </w:r>
          </w:p>
        </w:tc>
        <w:tc>
          <w:tcPr>
            <w:tcW w:w="1176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20万</w:t>
            </w:r>
          </w:p>
        </w:tc>
        <w:tc>
          <w:tcPr>
            <w:tcW w:w="11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10-50万</w:t>
            </w:r>
          </w:p>
        </w:tc>
        <w:tc>
          <w:tcPr>
            <w:tcW w:w="136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2000元/月</w:t>
            </w:r>
          </w:p>
        </w:tc>
        <w:tc>
          <w:tcPr>
            <w:tcW w:w="180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36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C类博士</w:t>
            </w:r>
          </w:p>
        </w:tc>
        <w:tc>
          <w:tcPr>
            <w:tcW w:w="1176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44" w:type="dxa"/>
            <w:gridSpan w:val="5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注：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A6A6A"/>
                <w:spacing w:val="0"/>
                <w:sz w:val="18"/>
                <w:szCs w:val="18"/>
                <w:bdr w:val="none" w:color="auto" w:sz="0" w:space="0"/>
              </w:rPr>
              <w:t>以上待遇均为税前金额；聘期5年；参与校内文明明奖和奖励性绩效分配。以上人才须全职到岗且人事关系需转入我校，具体任务待遇以人事手续完成后签订协议为准。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D5897"/>
    <w:rsid w:val="479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2021-04-26T08:39:00Z</dcterms:created>
  <dc:creator>ぺ灬cc果冻ル</dc:creator>
  <cp:lastModifiedBy>ぺ灬cc果冻ル</cp:lastModifiedBy>
  <dcterms:modified xsi:type="dcterms:W3CDTF">2021-04-26T08:39:38Z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