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bdr w:val="none" w:color="auto" w:sz="0" w:space="0"/>
        </w:rPr>
        <w:t>招聘专业及要求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 </w:t>
      </w:r>
    </w:p>
    <w:tbl>
      <w:tblPr>
        <w:tblW w:w="7213" w:type="dxa"/>
        <w:jc w:val="center"/>
        <w:tblInd w:w="6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952"/>
        <w:gridCol w:w="2129"/>
        <w:gridCol w:w="2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招聘专业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招聘人数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招聘要求</w:t>
            </w:r>
          </w:p>
        </w:tc>
        <w:tc>
          <w:tcPr>
            <w:tcW w:w="2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牙周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博士、硕士研究生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牙体牙髓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博士、硕士研究生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口腔种植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博士、硕士研究生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有临床工作经验者优先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儿童口腔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博士、硕士研究生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有临床工作经验者优先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口腔修复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博士、硕士研究生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口腔正畸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博士、硕士研究生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口腔颌面外科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博士、硕士研究生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正颌方向、有临床工作经验者优先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口腔粘膜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博士、硕士研究生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麻醉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本科以上学历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有住院医师规范化培训合格证书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检验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本科以上学历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3240A"/>
    <w:rsid w:val="44732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2017-11-24T04:18:00Z</dcterms:created>
  <dc:creator>ASUS</dc:creator>
  <cp:lastModifiedBy>ASUS</cp:lastModifiedBy>
  <dcterms:modified xsi:type="dcterms:W3CDTF">2017-11-24T04:18:54Z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