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3D3D3D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D3D3D"/>
                <w:spacing w:val="0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2020年鱼台县疾病预防控制中心公开招聘工作人员笔试成绩公示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single" w:color="EEEEEE" w:sz="4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396" w:lineRule="atLeast"/>
              <w:ind w:left="0" w:right="0"/>
              <w:jc w:val="center"/>
              <w:rPr>
                <w:color w:val="DDDDDD"/>
              </w:rPr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D3D3D"/>
                <w:spacing w:val="0"/>
                <w:sz w:val="26"/>
                <w:szCs w:val="26"/>
              </w:rPr>
              <w:pict>
                <v:rect id="_x0000_i1025" o:spt="1" style="height:0.75pt;width:432pt;" fillcolor="#DDDDDD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4000" w:type="pct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84"/>
              <w:gridCol w:w="1107"/>
              <w:gridCol w:w="1477"/>
              <w:gridCol w:w="1477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75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发布日期： 2020- 11- 18 21: 11: 34</w:t>
                  </w:r>
                </w:p>
              </w:tc>
              <w:tc>
                <w:tcPr>
                  <w:tcW w:w="75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浏览次数 359</w:t>
                  </w:r>
                </w:p>
              </w:tc>
              <w:tc>
                <w:tcPr>
                  <w:tcW w:w="1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字体：[ 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"http://www.yutai.gov.cn/art/2020/11/18/javascript:doZoom(17)"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ascii="宋体" w:hAnsi="宋体" w:eastAsia="宋体" w:cs="宋体"/>
                      <w:color w:val="333333"/>
                      <w:sz w:val="18"/>
                      <w:szCs w:val="18"/>
                      <w:u w:val="none"/>
                      <w:bdr w:val="none" w:color="auto" w:sz="0" w:space="0"/>
                    </w:rPr>
                    <w:t>大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"http://www.yutai.gov.cn/art/2020/11/18/javascript:doZoom(15)"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ascii="宋体" w:hAnsi="宋体" w:eastAsia="宋体" w:cs="宋体"/>
                      <w:color w:val="333333"/>
                      <w:sz w:val="18"/>
                      <w:szCs w:val="18"/>
                      <w:u w:val="none"/>
                      <w:bdr w:val="none" w:color="auto" w:sz="0" w:space="0"/>
                    </w:rPr>
                    <w:t>中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"http://www.yutai.gov.cn/art/2020/11/18/javascript:doZoom(13)"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5"/>
                      <w:rFonts w:ascii="宋体" w:hAnsi="宋体" w:eastAsia="宋体" w:cs="宋体"/>
                      <w:color w:val="333333"/>
                      <w:sz w:val="18"/>
                      <w:szCs w:val="18"/>
                      <w:u w:val="none"/>
                      <w:bdr w:val="none" w:color="auto" w:sz="0" w:space="0"/>
                    </w:rPr>
                    <w:t>小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]</w:t>
                  </w:r>
                </w:p>
              </w:tc>
              <w:tc>
                <w:tcPr>
                  <w:tcW w:w="1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4"/>
                      <w:szCs w:val="1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4"/>
                      <w:szCs w:val="1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"http://www.yutai.gov.cn/art/2020/11/18/art_37075_2705516.html?xxgkhide=1" \o "分享到微信" </w:instrTex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4"/>
                      <w:szCs w:val="1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4"/>
                      <w:szCs w:val="1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4"/>
                      <w:szCs w:val="1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4"/>
                      <w:szCs w:val="1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"http://www.yutai.gov.cn/art/2020/11/18/art_37075_2705516.html?xxgkhide=1" \o "分享到新浪微博" </w:instrText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4"/>
                      <w:szCs w:val="1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Fonts w:ascii="宋体" w:hAnsi="宋体" w:eastAsia="宋体" w:cs="宋体"/>
                      <w:color w:val="353535"/>
                      <w:kern w:val="0"/>
                      <w:sz w:val="14"/>
                      <w:szCs w:val="1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u w:val="none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 </w:t>
            </w:r>
          </w:p>
          <w:tbl>
            <w:tblPr>
              <w:tblW w:w="3816" w:type="dxa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8"/>
              <w:gridCol w:w="658"/>
              <w:gridCol w:w="1210"/>
              <w:gridCol w:w="610"/>
            </w:tblGrid>
            <w:tr>
              <w:tblPrEx>
                <w:shd w:val="clear"/>
              </w:tblPrEx>
              <w:trPr>
                <w:trHeight w:val="169" w:hRule="atLeast"/>
                <w:jc w:val="center"/>
              </w:trPr>
              <w:tc>
                <w:tcPr>
                  <w:tcW w:w="1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7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报考职位</w:t>
                  </w:r>
                </w:p>
              </w:tc>
              <w:tc>
                <w:tcPr>
                  <w:tcW w:w="8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考号</w:t>
                  </w:r>
                </w:p>
              </w:tc>
              <w:tc>
                <w:tcPr>
                  <w:tcW w:w="4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2020090001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2020090002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64.40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2020090003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2020090004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2020090005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2020090006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2020090007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55.90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2020090008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2020090009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54.90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30.10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50.40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43.90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公共卫生A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60.90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44.70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50.10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57.40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58.40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55.40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36.90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2020090049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47.40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2020090059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48.90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41.60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2020090069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43.70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42.70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47.80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35.10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" w:hRule="atLeast"/>
                <w:jc w:val="center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鱼台县疾病预防控制中心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公共卫生B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2020090079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43.80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12132"/>
    <w:rsid w:val="77007A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ny2</dc:creator>
  <cp:lastModifiedBy>卜荣荣</cp:lastModifiedBy>
  <dcterms:modified xsi:type="dcterms:W3CDTF">2020-11-19T05:10:09Z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