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2185"/>
        <w:gridCol w:w="799"/>
        <w:gridCol w:w="813"/>
        <w:gridCol w:w="1808"/>
        <w:gridCol w:w="342"/>
        <w:gridCol w:w="2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8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72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sz w:val="36"/>
                <w:szCs w:val="36"/>
                <w:bdr w:val="none" w:color="auto" w:sz="0" w:space="0"/>
              </w:rPr>
              <w:t>高层次工作人员招聘岗位计划表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8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学位要求</w:t>
            </w:r>
          </w:p>
        </w:tc>
        <w:tc>
          <w:tcPr>
            <w:tcW w:w="18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职称条件</w:t>
            </w:r>
          </w:p>
        </w:tc>
        <w:tc>
          <w:tcPr>
            <w:tcW w:w="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20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3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皮肤科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学士学位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主任医师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3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妇科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学士学位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副主任医师（含）以上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急需专业岗位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3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血液内科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学士学位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副主任医师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（含）以上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3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呼吸内科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副主任医师（含）以上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3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消化内科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副主任医师（含）以上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3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产科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副主任医师（含）以上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3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急诊科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副主任医师（含）以上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61F68"/>
    <w:rsid w:val="45F6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2018-03-29T06:55:00Z</dcterms:created>
  <dc:creator>向青釉</dc:creator>
  <cp:lastModifiedBy>向青釉</cp:lastModifiedBy>
  <dcterms:modified xsi:type="dcterms:W3CDTF">2018-03-29T07:10:46Z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