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1"/>
      </w:pPr>
      <w:r>
        <w:t>窗体顶端</w:t>
      </w:r>
    </w:p>
    <w:p>
      <w:pPr>
        <w:pStyle w:val="3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 w:firstLine="420"/>
        <w:jc w:val="left"/>
        <w:rPr>
          <w:rFonts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color w:val="6A6A6A"/>
          <w:sz w:val="18"/>
          <w:szCs w:val="18"/>
          <w:shd w:val="clear" w:fill="FFFFFF"/>
        </w:rPr>
        <w:t>附件1：</w:t>
      </w:r>
    </w:p>
    <w:p>
      <w:pPr>
        <w:pStyle w:val="3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 w:firstLine="42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6A6A6A"/>
          <w:sz w:val="24"/>
          <w:szCs w:val="24"/>
          <w:shd w:val="clear" w:fill="FFFFFF"/>
        </w:rPr>
        <w:t>“双一流”建设高校名单</w:t>
      </w:r>
    </w:p>
    <w:p>
      <w:pPr>
        <w:pStyle w:val="3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color w:val="6A6A6A"/>
          <w:sz w:val="24"/>
          <w:szCs w:val="24"/>
          <w:shd w:val="clear" w:fill="FFFFFF"/>
        </w:rPr>
        <w:t>（按学校代码排序）</w:t>
      </w:r>
    </w:p>
    <w:p>
      <w:pPr>
        <w:pStyle w:val="3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/>
        <w:jc w:val="center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6A6A6A"/>
          <w:sz w:val="24"/>
          <w:szCs w:val="24"/>
          <w:shd w:val="clear" w:fill="FFFFFF"/>
        </w:rPr>
        <w:t>一流大学建设高校42所</w:t>
      </w:r>
    </w:p>
    <w:p>
      <w:pPr>
        <w:pStyle w:val="3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</w:p>
    <w:p>
      <w:pPr>
        <w:pStyle w:val="3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color w:val="6A6A6A"/>
          <w:sz w:val="18"/>
          <w:szCs w:val="18"/>
          <w:shd w:val="clear" w:fill="FFFFFF"/>
        </w:rPr>
        <w:t>1、A类36所</w:t>
      </w:r>
    </w:p>
    <w:p>
      <w:pPr>
        <w:pStyle w:val="3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6A6A6A"/>
          <w:sz w:val="18"/>
          <w:szCs w:val="18"/>
          <w:shd w:val="clear" w:fill="FFFFFF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</w:p>
    <w:p>
      <w:pPr>
        <w:pStyle w:val="3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Style w:val="6"/>
          <w:rFonts w:hint="eastAsia" w:ascii="微软雅黑" w:hAnsi="微软雅黑" w:eastAsia="微软雅黑" w:cs="微软雅黑"/>
          <w:color w:val="6A6A6A"/>
          <w:sz w:val="18"/>
          <w:szCs w:val="18"/>
          <w:shd w:val="clear" w:fill="FFFFFF"/>
        </w:rPr>
        <w:t>2、B类6所</w:t>
      </w:r>
    </w:p>
    <w:p>
      <w:pPr>
        <w:pStyle w:val="3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6A6A6A"/>
          <w:sz w:val="18"/>
          <w:szCs w:val="18"/>
          <w:shd w:val="clear" w:fill="FFFFFF"/>
        </w:rPr>
        <w:t>东北大学、郑州大学、湖南大学、云南大学、西北农林科技大学、新疆大学</w:t>
      </w:r>
    </w:p>
    <w:p>
      <w:pPr>
        <w:pStyle w:val="3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6A6A6A"/>
          <w:sz w:val="18"/>
          <w:szCs w:val="18"/>
          <w:shd w:val="clear" w:fill="FFFFFF"/>
        </w:rPr>
        <w:t>一流学科建设高校95所</w:t>
      </w:r>
    </w:p>
    <w:p>
      <w:pPr>
        <w:pStyle w:val="3"/>
        <w:keepNext w:val="0"/>
        <w:keepLines w:val="0"/>
        <w:widowControl/>
        <w:suppressLineNumbers w:val="0"/>
        <w:spacing w:before="662" w:beforeAutospacing="0" w:after="0" w:afterAutospacing="0" w:line="300" w:lineRule="atLeast"/>
        <w:ind w:left="0" w:right="0"/>
        <w:jc w:val="left"/>
        <w:rPr>
          <w:rFonts w:hint="eastAsia" w:ascii="微软雅黑" w:hAnsi="微软雅黑" w:eastAsia="微软雅黑" w:cs="微软雅黑"/>
          <w:sz w:val="18"/>
          <w:szCs w:val="18"/>
        </w:rPr>
      </w:pPr>
      <w:r>
        <w:rPr>
          <w:rFonts w:hint="eastAsia" w:ascii="微软雅黑" w:hAnsi="微软雅黑" w:eastAsia="微软雅黑" w:cs="微软雅黑"/>
          <w:color w:val="6A6A6A"/>
          <w:sz w:val="18"/>
          <w:szCs w:val="18"/>
          <w:shd w:val="clear" w:fill="FFFFFF"/>
        </w:rPr>
        <w:t>北京交通大学、北京工业大学、北京科技大学、北京化工大学、北京邮电大学、北京林业大学、北京协和医学院、北京中医药大学、首都师范大学、北京外国语大学、中国传媒大学、中央财经大学、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太原理工大学、内蒙古大学、辽宁大学、大连海事大学、延边大学、东北师范大学、哈尔滨工程大学、东北农业大学、东北林业大学、华东理工大学、东华大学、上海海洋大学、上海中医药大学、上海外国语大学、上海财经大学、上海体育学院、上海音乐学院、上海大学、苏州大学、南京航空航天大学、南京理工大学、中国矿业大学、南京邮电大学、河海大学、江南大学、南京林业大学、南京信息工程大学、南京农业大学、南京中医药大学、中国药科大学、南京师范大学、中国美术学院、安徽大学、合肥工业大学、福州大学、南昌大学、河南大学、中国地质大学、武汉理工大学、华中农业大学、华中师范大学、中南财经政法大学、湖南师范大学、暨南大学、广州中医药大学、华南师范大学、海南大学、广西大学、西南交通大学、西南石油大学、成都理工大学、四川农业大学、成都中医药大学、西南大学、西南财经大学、贵州大学、西藏大学、西北大学、西安电子科技大学、长安大学、陕西师范大学、青海大学、宁夏大学、石河子大学、中国石油大学、宁波大学、中国科学院大学、第二军医大学、第四军医大学</w:t>
      </w:r>
    </w:p>
    <w:tbl>
      <w:tblPr>
        <w:tblW w:w="4500" w:type="pct"/>
        <w:tblInd w:w="0" w:type="dxa"/>
        <w:tblBorders>
          <w:top w:val="single" w:color="ADD9C0" w:sz="4" w:space="0"/>
          <w:left w:val="single" w:color="ADD9C0" w:sz="4" w:space="0"/>
          <w:bottom w:val="single" w:color="ADD9C0" w:sz="4" w:space="0"/>
          <w:right w:val="single" w:color="ADD9C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42"/>
        <w:gridCol w:w="1062"/>
        <w:gridCol w:w="1138"/>
        <w:gridCol w:w="1056"/>
        <w:gridCol w:w="570"/>
        <w:gridCol w:w="3014"/>
        <w:gridCol w:w="861"/>
        <w:gridCol w:w="698"/>
        <w:gridCol w:w="1221"/>
        <w:gridCol w:w="1069"/>
        <w:gridCol w:w="1596"/>
      </w:tblGrid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3380" w:type="dxa"/>
            <w:gridSpan w:val="11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center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9"/>
                <w:szCs w:val="19"/>
              </w:rPr>
              <w:t>2020年山东省临沂市“沂蒙优才”引进岗位表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3" w:hRule="atLeast"/>
        </w:trPr>
        <w:tc>
          <w:tcPr>
            <w:tcW w:w="0" w:type="auto"/>
            <w:gridSpan w:val="11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序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号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主管部门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引进单位</w:t>
            </w:r>
          </w:p>
        </w:tc>
        <w:tc>
          <w:tcPr>
            <w:tcW w:w="1140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岗位名称</w:t>
            </w:r>
          </w:p>
        </w:tc>
        <w:tc>
          <w:tcPr>
            <w:tcW w:w="600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引进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名额</w:t>
            </w:r>
          </w:p>
        </w:tc>
        <w:tc>
          <w:tcPr>
            <w:tcW w:w="6216" w:type="dxa"/>
            <w:gridSpan w:val="4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资格条件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备注</w:t>
            </w:r>
          </w:p>
        </w:tc>
        <w:tc>
          <w:tcPr>
            <w:tcW w:w="160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联系人及电话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600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学历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学位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其他</w:t>
            </w: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临沂市纪委监委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临沂市茶山园管理服务中心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网络技术岗A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本科专业：计算机科学与技术；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研究生专业：计算机科学与技术、计算机应用技术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能适应办案加班工作需要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薛老师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0539-8726302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网络技术岗B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本科专业：软件工程、网络工程；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研究生专业：计算机软件与理论、软件工程、公安技术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能适应办案加班工作需要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薛老师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0539-8726302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财会管理岗A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本科专业：会计学、审计学、财务管理、行政管理； 研究生专业：会计学、审计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限男性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薛老师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0539-8726302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财会管理岗B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本科专业：会计学、审计学、财务管理、行政管理； 研究生专业：会计学、审计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限女性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薛老师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0539-8726302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中共临沂市委办公室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临沂市保密技术检查服务中心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本科专业：电子信息类、计算机类、保密管理； 研究生专业：信息与通信工程一级学科、计算机科学与技术一级学科、电子信息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无国（境）外学习工作经历，不享有国（境）外永久居留权、长期居留许可。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0539-8726021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临沂市专用通信局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本科专业：通信工程； 研究生专业：信息与通信工程一级学科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无国（境）外学习工作经历，不享有国（境）外永久居留权、长期居留许可。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0539-8726021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本科专业：电子信息类、计算机类； 研究生专业：电子科学与技术一级学科、计算机科学与技术一级学科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无国（境）外学习工作经历，不享有国（境）外永久居留权、长期居留许可。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0539-8726021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临沂市委宣传部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沂蒙精神研究中心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文字综合岗A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本科专业：政治学类、马克思主义理论类；网络与新媒体、汉语言文学、历史学专业； 研究生专业：马克思主义理论一级学科、中国史一级学科；中共党史、新闻与传播、汉语言文字学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限男性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赵老师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0539-8727310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沂蒙精神研究中心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文字综合岗B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本科专业：政治学类、马克思主义理论类；网络与新媒体、汉语言文学、历史学专业； 研究生专业：马克思主义理论一级学科、中国史一级学科；中共党史、新闻与传播、汉语言文字学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限女性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赵老师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0539-8727310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临沂市委统战部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临沂市统战事务服务中心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文字综合岗A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本科专业：中国语言文学类、马克思主义理论类、政治学类； 研究生专业：哲学、中国语言文学、马克思主义理论、政治学一级学科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限男性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0539-8727750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文字综合岗B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本科专业：中国语言文学类、马克思主义理论类、政治学类； 研究生专业：哲学、中国语言文学、马克思主义理论、政治学一级学科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限女性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0539-8727750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本科专业：新闻传播学类、公共管理类、经济学类、金融学类； 研究生专业：经济学新闻传播学、中国语言文学、理论经济学、法学一级学科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限男性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0539-8727750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本科专业：新闻传播学类、公共管理类、经济学类、金融学类； 研究生专业：经济学新闻传播学、中国语言文学、理论经济学、法学一级学科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限女性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0539-8727750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政策研究岗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统一战线学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0539-8727750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英语语言文学、外国语言学及应用语言学、翻译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0539-8727750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临沂市委网信办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临沂市互联网信息安全服务中心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网络安全岗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本科专业：软件工程、网络工程、信息安全、网络与新媒体； 研究生专业：软件工程一级学科、网络空间安全一级学科、新闻与传播专业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需值夜班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0539-8727233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6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临沂市委老干部局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临沂市老年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本科专业：计算机类； 研究生专业：计算机科学与技术一级学科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需经常加班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云老师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0539-8727625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7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临沂市委党校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临沂市委党校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教师岗A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马克思主义理论一级学科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0539-5979038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教师岗B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马克思主义哲学、中国哲学、科学技术哲学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0539-5979038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教师岗C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理论经济学一级学科，国民经济学、区域经济学、产业经济学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0539-5979038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教师岗D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中共党史（含：党的学说与党的建设）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0539-5979038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教师岗E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法学一级学科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0539-5979038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教师岗F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政治学理论、科学社会主义与国际共产主义运动、国际政治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0539-5979038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教师岗G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公共管理一级学科，应急管理，社会学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0539-5979038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图书馆学、档案学、图书情报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0539-5979038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计算机科学与技术一级学科，软件工程一级学科，网络空间安全一级学科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0539-5979038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沂蒙优才岗C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风景园林学、风景园林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0539-5979038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8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临沂市档案馆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临沂市档案馆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文字综合岗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本科专业：政治学类、马克思主义理论类、中国语言文学类； 研究生专业：政治学、马克思主义理论、中国语言文学一级学科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苏老师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0539-8729939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经济学门类、法学门类、管理学门类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苏老师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0539-8729939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本科专业：图书情报与档案管理类、历史学类； 研究生专业：图书情报与档案管理一级学科，历史学门类、文物与博物馆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苏老师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0539-8729939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9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临沂日报报业集团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临沂日报社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新闻采编岗A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汉语言文学、汉语言、新闻学、传播学、网络与新媒体、经济学、广播电视编导、影视摄影与制作、电影学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限男性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毛老师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0539-8966011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新闻采编岗B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汉语言文学、汉语言、新闻学、传播学、网络与新媒体、经济学、广播电视编导、影视摄影与制作、电影学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限女性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毛老师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0539-8966011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技术研发岗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本科专业：计算机科学与技术、软件工程、数字媒体技术、信息安全； 研究生专业：计算机科学与技术一级学科、软件工程一级学科、网络空间安全一级学科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毛老师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0539-8966011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临沂市发展和改革委员会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临沂市信用体系建设服务中心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信用管理专业、网络工程专业、信息安全专业、电子信息工程专业、智能电网信息工程专业、微电子科学与工程专业、数字媒体技术专业、能源经济专业、能源与环境系统工程专业、法学专业、统计学类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仅限本科生报名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需经常加班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崔老师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0539-8727820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11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临沂市科学技术局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临沂市生产力促进中心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本科专业：会计学、财务管理； 研究生专业：会计学、财务管理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0539-7570027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12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临沂市工业和信息化局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临沂市无线电技术保障中心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无线电专业技术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本科专业：通信工程、信息工程； 研究生专业：通信与信息系统、信号与信息处理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陈老师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0539-8727550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13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临沂市公安局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临沂市公安干部中等专业学校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教学岗A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本科专业：计算机类；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研究生专业：计算机科学与技术一级学科（大数据科学与技术、大数据科学与工程、大数据科学与应用专业方向）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父母、配偶或子女已移居国（境）外的，兄弟姐妹等直系亲属与外国人结婚的，有6个月以上非公派国（境）外留学或生活经历的，不得报考。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1.须在面试前参加体能测评，体能测评不合格的不得参加面试；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2.年龄、体检、考察政审等须符合公安机关人民警察录用有关要求；3.单侧矫正视力低于5.0，不合格。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0539-8102139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教学岗B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本科专业：新闻传播学类；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研究生专业：新闻传播学一级学科（新媒体学、网络与新媒体、数字传媒、新媒体专业方向）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0539-8102139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教学岗C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本科专业：法学类；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研究生专业：法学一级学科（法学理论、宪法学与行政法学、刑法学、民商法学、诉讼法学、经济法学、环境与资源保护法学、知识产权法、应用法学、中国特色社会主义理论与实践研究专业方向）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0539-8102139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文字综合岗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本科专业：汉语言文学、汉语言、秘书学；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研究生专业：中国语言文学一级学科（语言学及应用语言学、汉语言文字学、文学写作、写作学专业方向）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0539-8102139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财务管理岗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本科专业：会计学、财务管理；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研究生专业：工商管理一级学科（会计学、财务管理专业方向），会计专业学位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0539-8102139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2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14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临沂市民政局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市社会福利中心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社会工作岗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本科专业：社会工作、社会学； 研究生专业：社会工作、社会学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申老师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0539-7200930 尹老师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0539-8601127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市慈善事业发展服务中心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本科专业：会计学、财务管理； 研究生专业：会计学、财务管理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申老师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0539-7200930 魏老师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0539-7200933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临沂市财政局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临沂市政府投融资管理中心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工程管理岗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本科专业：土木类、工程造价、工程管理；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研究生专业：土木工程类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需经常加班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公老师0539-8316645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16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临沂市人力资源和社会保障局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临沂市人力资源和社会保障局所属事业单位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文字综合岗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本科专业：中国语言文学类、新闻传播学类； 研究生专业：中国语言文学一级学科、新闻传播学一级学科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姚老师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0539-8317165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财务管理岗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本科专业：经济学、财政学、金融学、财务管理、统计学、会计学、审计学； 研究生专业：财政学、金融学、金融、审计、统计学一级学科、应用统计、会计学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姚老师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0539-8317165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本科专业：电子信息类、计算机类；研究生专业：电子科学与技术一级学科、计算机科学与技术一级学科、信息与通信工程一级学科、控制科学与工程一级学科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0539-8301805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本科专业：人力资源管理、劳动关系、公共事业管理、行政管理、劳动与社会保障、应用心理学； 研究生专业：人力资源管理、行政管理、社会保障、公共管理、应用心理学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徐老师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0539-8301805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本科专业：法学类；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研究生专业：法学一级学科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0539-8059836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综合管理岗C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哲学门类、经济学门类、法学门类、文学门类、管理学门类、理学门类、工学门类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0539-8128185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综合管理岗D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不限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限42所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“一流大学”建设高校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0539-8128185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17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临沂市城市管理局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市高铁（火车站）区域服务中心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本科专业：法学类； 研究生专业：法学一级学科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0539-6372028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本科专业：风景园林、园林； 研究生专业：风景园林、风景园林学一级学科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0539-6372028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18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临沂市交通运输局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临沂市城市公共客运管理办公室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交通运输类；交通运输工程一级学科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0539-7877059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19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临沂市商务局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临沂市投资促进服务中心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文学门类；外国语言文学一级学科、新闻传播学一级学科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限女性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0539-8312241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文学门类；外国语言文学一级学科、新闻传播学一级学科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限男性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需经常出差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0539-8312241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20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临沂市水利局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市水利局所属事业单位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水利规划岗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水利工程一级学科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到岗后从事水利规划相关工作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许老师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0539-8131235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本科专业：水利类、风景园林、建筑学；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研究生专业：不限，本科学习专业须为水利类、风景园林、建筑学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许老师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0539-8131235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综合文字岗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本科专业：汉语言文学、汉语言、秘书学、新闻学；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研究生专业：不限，本科学习专业须为汉语言文学、汉语言、秘书学、新闻学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有2年以上工作经历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许老师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0539-8131235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财务审计管理岗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本科专业：审计学、工商管理、财务管理；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研究生专业：不限，本科学习专业须为审计学、工商管理、财务管理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有2年以上工作经历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许老师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0539-8131235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政策研究岗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本科专业：法学；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研究生专业：不限，本科学习专业须为法学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许老师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0539-8131235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21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临沂市文化和旅游局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临沂市文化旅游发展促进中心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文字综合岗A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本科专业：新闻学、秘书学；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研究生专业：思想政治教育、新闻与传播、传播学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限男性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0539-8722577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文字综合岗B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本科专业：新闻学、秘书学；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研究生专业：思想政治教育、新闻与传播、传播学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限女性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0539-8722577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考古学一级学科、中国史一级学科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需野外考察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吴老师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0539-8722577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临沂市博物馆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本科专业：文物保护技术、文物与博物馆学、历史学；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研究生专业：中国史一级学科、文物与博物馆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需夜间值班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张老师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0539-8185935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临沂市文化馆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计算机岗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计算机类；计算机科学与技术（可授工学、理学学位）一级学科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0539-8606585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音乐表演岗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本科专业：音乐学、音乐表演；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研究生专业：音乐学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0539-8606585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临沂市美术馆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本科专业：艺术学理论类；艺术设计学、视觉传达设计、工艺美术、数字媒体艺术、新媒体艺术；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研究生专业：艺术学理论、设计学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需夜间值班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吉老师19953965350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本科专业：美术学、绘画、书法学、中国画；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研究生专业：美术学、美术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吉老师19953965350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22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临沂市卫生健康委员会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临沂市疾病预防控制中心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疾病控制岗A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公共卫生与预防医学类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0539-8127101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疾病控制岗B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公共卫生与预防医学一级学科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0539-8127101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疾病控制岗C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本科专业：公共卫生与预防医学类；研究生专业：公共卫生与预防医学一级学科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0539-8127101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公共卫生监测岗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公共卫生与预防医学一级学科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0539-8127101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卫生检验岗A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病原生物学、微生物学、生物化学与分子生物学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0539-8127101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卫生检验岗B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卫生检验与检疫、微生物学、生物化学与分子生物学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0539-8127101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本科专业：汉语言文学、汉语言、新闻学、传播学、社会医学与卫生事业管理； 研究生专业：语言学及应用语言学、汉语言文字学、新闻学、传播学、新闻与传播、社会医学与卫生事业管理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0539-8127101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本科专业：会计学、财务管理、思想政治教育、人力资源管理； 研究生专业：会计学、思想政治教育、人力资源管理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0539-8127101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临沂市中心血站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公共卫生管理岗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本科专业：公共事业管理； 研究生专业：社会医学与卫生事业管理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巩老师 0539-7017018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财务管理岗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本科专业：会计学、财务管理； 研究生专业：会计学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巩老师 0539-7017018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临床医学岗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本科专业：临床医学； 研究生专业：内科学、外科学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巩老师 0539-7017018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护理学岗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本科专业：护理学； 研究生专业：护理学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巩老师 0539-7017018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医学检验岗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本科专业：医学检验技术； 研究生专业：临床检验诊断学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巩老师 0539-7017018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临沂市皮肤病防治所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病理科医疗岗位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病理学与病理生理学（临床病理方向）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具有执业医师资格证，取得住院医师规范化培训合格证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付老师 0539-7876005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医学整形科医疗岗位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本科专业：临床医学； 研究生专业：外科学（医学整形方向）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具有执业医师资格证，取得住院医师规范化培训合格证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付老师 0539-7876005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临沂市爱国卫生运动服务中心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财务管理岗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本科专业：会计学、财务管理； 研究生专业：会计学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杨老师 0539-8313085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预防医学岗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本科专业：预防医学； 研究生专业：劳动卫生与环境卫生学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杨老师 0539-8313085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23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临沂市退役军人事务局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临沂市退役军人事务局所属事业单位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文字综合岗A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本科专业：新闻学、传播学、网络与新媒体、汉语言文学、汉语言； 研究生专业：新闻学、传播学、新闻与传播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限男性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贾老师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0539-8963765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文字综合岗B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本科专业：新闻学、传播学、网络与新媒体、汉语言文学、汉语言； 研究生专业：新闻学、传播学、新闻与传播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限女性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贾老师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0539-8963765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7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24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临沂市审计局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临沂市市管企业监事会工作办公室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审计业务岗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本科专业：审计学、会计学、财政学、计算机科学与技术； 研究生专业：应用经济学一级学科（财政学方向）、审计专业学位、会计专业学位、工商管理一级学科（会计学方向、审计学方向）、计算机科学与技术一级学科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需经常出差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朱老师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0539-7879952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25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临沂市国资委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临沂市国有企业发展服务中心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工商管理、财务管理、人力资源管理、审计学、资产评估、金融学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限男性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仅限本科生报名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邵老师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0539-8726819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工商管理、财务管理、人力资源管理、审计学、资产评估、金融学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限女性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仅限本科生报名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邵老师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0539-8726819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沂蒙优才岗C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计算机类、马克思主义理论类（科学社会主义、中国共产党历史、思想政治教育）、法学、汉语言文学、秘书学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限男性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仅限本科生报名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邵老师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0539-8726819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沂蒙优才岗D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计算机类、马克思主义理论类（科学社会主义、中国共产党历史、思想政治教育）、法学、汉语言文学、秘书学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限女性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仅限本科生报名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邵老师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0539-8726819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沂蒙优才岗E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经济学类、财政学类、金融学类、工商管理类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限男性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仅限本科生报名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邵老师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0539-8726819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沂蒙优才岗F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经济学类、财政学类、金融学类、工商管理类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限女性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仅限本科生报名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邵老师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0539-8726819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沂蒙优才岗G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会计学、企业管理（含：财务管理、人力资源管理，不含市场营销）、金融（专业学位）、会计（专业学位）、工商管理（专业学位）、资产评估（专业学位）、审计（专业学位）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限男性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邵老师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0539-8726819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沂蒙优才岗H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会计学、企业管理（含：财务管理、人力资源管理，不含市场营销）、金融（专业学位）、会计（专业学位）、工商管理（专业学位）、资产评估（专业学位）、审计（专业学位）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限女性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邵老师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0539-8726819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26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临沂市行政审批服务局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临沂市政务服务中心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政策研究岗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本科专业：公共事业管理、行政管理、城市管理； 研究生专业：行政管理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冯老师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0539-8770726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本科专业：计算机类； 研究生专业：计算机科学与技术一级学科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冯老师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0539-8770726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27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临沂市市场监督管理局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临沂市药物警戒中心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本科专业：生物医学工程，临床药学，临床医学，药学，中西医临床医学； 研究生专业：生物医学工程，内科学，药理学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密老师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0539-5977969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28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临沂市体育局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临沂市体育运动学校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文字综合岗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文学门类、教育学门类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0539-8726837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29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临沂市医疗保障局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临沂市医疗保险事业中心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文字综合岗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新闻传播学类；新闻传播学一级学科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赵老师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0539-7357910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基金稽核岗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本科专业：会计学、财务管理、审计学； 研究生专业：审计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赵老师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0539-7357910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医保业务岗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临床医学类、中西医结合类；临床医学一级学科、中西医结合一级学科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赵老师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0539-7357910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30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临沂市地方金融监督管理局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临沂市地方金融服务中心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本科专业：金融学类；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研究生专业：应用经济学一级学科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需经常加班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0539-8726757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31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临沂市大数据局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临沂市大数据中心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计算机科学与技术、信息与通信工程、软件工程、统计学、应用经济学、数学、网络空间安全一级学科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0539-8770526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32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临沂综合保税区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临沂综合保税区所属事业单位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本科专业：国际经济与贸易、法学、物流管理； 研究生专业：经济学门类、法学门类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孟老师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0539-8870759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33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临沂市住房公积金服务中心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临沂市住房公积金服务中心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信息化管理岗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计算机类;计算机科学与技术一级学科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葛老师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0539-8307071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34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临沂市广播电视台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临沂市广播电视台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新闻宣传岗位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中国语言文学一级学科、新闻传播学一级学科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0539-2952013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视频包装岗位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戏剧与影视学类；视觉传达设计、数字媒体艺术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播音与主持艺术类除外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0539-2952013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网络工程师岗位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计算机类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0539-2952013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广播电视发射岗位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电子信息类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0539-2952013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广播电视节目制作岗位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戏剧与影视学类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播音与主持艺术类除外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0539-2952013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广播电视工程岗位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电气类、电子信息类、计算机类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0539-2952013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广播电视网络安全岗位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计算机类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0539-2952013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35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临沂市铁路交通和民用航空发展服务中心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临沂市铁路交通和民用航空发展服务中心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本科专业：航天航空类； 研究生专业：航空宇航科学与技术一级学科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需经常出差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0539-7877291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本科专业：轨道交通信号与控制、交通运输、交通工程、交通设备与控制工程； 研究生专业：交通运输工程一级学科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孙老师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0539-7877291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36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临沂市发改委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临沂市产业技术研究院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材料科学与工程一级学科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葛老师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0539-6371817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生物工程一级学科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葛老师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0539-6371817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专业技术岗C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计算机软件与理论、软件工程、应用软件工程、人工智能与信息处理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葛老师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0539-6371817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37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临沂市生态环境局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临沂市生态文明建设服务中心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大气科学一级学科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傅老师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0539-8727568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环境科学与工程一级学科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傅老师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0539-8727568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38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临沂市检验检测中心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临沂市检验检测中心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食药所药品检验岗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药学一级学科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0539-7739026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15550972221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计量所检定岗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电气工程、仪器科学与技术一级学科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0539-7739026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15550972221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质检所检验岗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化学一级学科、化学工程与技术一级学科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0539-7739026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15550972221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食药所食品检验岗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化学一级学科、化学工程与技术一级学科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0539-7739026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15550972221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粮检所检验岗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化学一级学科、化学工程与技术一级学科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0539-7739026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15550972221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农检所检验岗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化学一级学科、化学工程与技术一级学科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0539-7739026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15550972221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纤监中心检验岗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化学一级学科、化学工程与技术一级学科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0539-7739026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15550972221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jc w:val="righ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39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临沂市畜牧发展促进中心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临沂市畜牧发展促进中心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本科专业：食品质量与安全、动植物检疫； 研究生专业：动物营养与饲料科学、动物遗传育种与繁殖、特种经济动物饲养（含蚕、蜂等）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耿老师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0539-8608020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6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40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临沂市中级人民法院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市中级人民法院诉讼服务中心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本科专业：法学； 研究生专业：宪法学与行政法学、刑法学、民商法学(含：劳动法学、社会保障法学)、诉讼法学、经济法学、环境与资源保护法学、国际法学(含：国际公法、国际私法、国际经济法)、法律专业学位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黄老师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0539-8128022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临沂市中级人民法院法官培训中心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信息化管理岗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本科专业：计算机科学与技术、软件工程、网络工程、信息安全、电子信息工程、电子科学与技术、通信工程、信息工程、电子信息科学与技术、电子与计算机工程； 研究生专业：网络空间安全一级学科；计算机应用技术、软件工程、信息安全、信息与计算科学、通信与信息系统、电子与计算机工程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黄老师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0539-8128022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41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临沂市科学技术协会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临沂市科技馆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展览教育岗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教育学一级学科、物理学一级学科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0539-8605667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42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临沂市扶贫开发办公室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临沂市扶贫开发办公室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工程管理岗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本科专业：工程管理、农业工程、设施农业科学与工程； 研究生专业：管理科学与工程一级学科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需经常出差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0539-8727300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43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临沂市司法局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临沂仲裁委员会办公室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法学一级学科（不含军事法学）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限男性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通过国家统一法律职业资格考试，取得《法律职业资格证书》（A证）资格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许老师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0539-8317024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9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法学一级学科（不含军事法学）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限女性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通过国家统一法律职业资格考试，取得《法律职业资格证书》（A证）资格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许老师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0539-8317024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44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临沂商城管委会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临沂商城管委会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电子商务类、物联网工程、数字媒体技术、智能科学与技术、空间信息与数字技术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0539-8963056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曹老师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0539-8963077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财务管理岗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本科专业：会计学、财务管理、审计学；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研究生专业：会计学、企业管理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0539-8963056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曹老师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0539-8963077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本科专业：物流管理、物流工程；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研究生专业：法学一级学科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0539-8963056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曹老师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0539-8963077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文字综合岗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本科专业：汉语言文学、新闻学；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研究生专业：新闻学、新闻与传播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0" w:type="auto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0539-8963056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曹老师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0539-8963077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8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45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临沂市公路事业发展中心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临沂市公路事业发展中心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本科专业：土木工程、道路桥梁与渡河工程；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研究生专业：桥梁与隧道工程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主要从事公路的建设养护管理和技术指导等工作，工作地点在各县。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唐老师 0539-7308069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文字综合岗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本科专业：汉语言文学、汉语言、秘书学、新闻学；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研究生专业：汉语言文学一级学科、新闻传播学一级学科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主要从事文字材料撰写工作，工作地点在各县。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唐老师 0539-7308069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本科专业：法学、统计学、应用统计学、会计学、财务管理；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研究生专业：法学一级学科、统计学一级学科、会计学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主要从事公路法律法规、公路计划统计、财务管理等工作，工作地点在各县区。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唐老师 0539-7308069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46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临沂市住房和城乡建设局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临沂市住房保障中心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土木类；土木工程一级学科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卢老师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0539-8208876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临沂市供热服务中心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本科专业：计算机科学与技术、软件工程、网络工程、信息安全、物联网工程；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研究生专业：计算机应用技术、通信与信息系统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0539-7873537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专业技术岗C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工程热物理、热能工程、动力机械及工程、流体机械及工程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0539-7873537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47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临沂市农业农村局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临沂市农业技术推广服务中心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本科专业：土木工程、市场营销、市场营销教育、网络营销与管理、电子商务；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环境科学与工程（可授工学、理学、农学学位）一级学科；农业资源利用一级学科；城乡规划学一级学科；风景园林学（可授工学、农学学位）一级学科；农业生物环境与能源工程、农业电气化与自动化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0539-8726785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临沂市果茶技术推广服务中心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沂蒙优才专业技术岗A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本科专业：园艺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研究生专业：果树学、茶学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0539-8726785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临沂市农业机械发展促进中心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综合管理岗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本科专业：政治学与行政学、社会学、社会工作、汉语言文学、汉语言、应用语言学、秘书学、新闻学、农业工程、农业机械化及其自动化；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研究生专业：社会学、社会工作、汉语言文字学、语言学及应用语言学、新闻学、农业机械化工程、农业电气化与自动化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刘老师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0539-8726785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临沂市农业科学院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园艺研究岗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园艺学一级学科、植物保护一级学科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0539-8531800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食品加工研究岗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食品科学与工程一级学科、生物工程一级学科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0539-8531800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智慧农业研究岗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农业工程一级学科、计算机科学与技术一级学科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0539-8531800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农业规划研究岗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城乡规划学一级学科、风景园林学一级学科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0539-8531800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食品加工研究岗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食品科学与工程一级学科、生物工程一级学科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0539-8531800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畜牧兽医研究岗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畜牧学一级学科、兽医学一级学科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0539-8531800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农业经济研究岗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本科专业：农林经济管理、农村区域发展、区域经济开发与管理；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研究生专业：农业经济管理、技术经济及管理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李老师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0539-8531800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48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临沂市机关事务服务中心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临沂市机关事务服务中心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电气类；电气工程一级学科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0539-8727910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2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本科专业：汉语言文学、汉语言、应用语言学、秘书学；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研究生专业：语言学及应用语言学、汉语言文字学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安老师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0539-8727910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49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临沂市城市管理综合服务中心</w:t>
            </w:r>
          </w:p>
        </w:tc>
        <w:tc>
          <w:tcPr>
            <w:tcW w:w="1212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临沂市城市管理综合服务中心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园林技术岗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风景园林学、风景园林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硕士研究生及以上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及以上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杜老师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0539-8729579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50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浙江大学山东（临沂）现代农业研究院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浙江大学山东（临沂）现代农业研究院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乡村规划专业技术岗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城乡规划、景观设计、风景园林等相关专业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具体标准要求，见浙大山东农研院公告</w:t>
            </w:r>
          </w:p>
        </w:tc>
        <w:tc>
          <w:tcPr>
            <w:tcW w:w="160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曾老师0571-88982456 0539-8717607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农业设计育种技术岗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抗病育种、植物分子生物学或细胞生物学相关专业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供应链专业技术岗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农产品绿色供应链技术、农产品贮藏加工、农产品冷链物流与智能装备、农产品物流包装等相关专业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食品科研与开发岗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3人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食品、轻工或农业、生物类相关专业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智能装备与机器人岗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2人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电子、通信、自动化或计算机类相关专业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4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高级架构与算法工程师岗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电子、通信、自动化或计算机类相关专业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60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51</w:t>
            </w:r>
          </w:p>
        </w:tc>
        <w:tc>
          <w:tcPr>
            <w:tcW w:w="1128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临沂市直事业单位</w:t>
            </w:r>
          </w:p>
        </w:tc>
        <w:tc>
          <w:tcPr>
            <w:tcW w:w="1212" w:type="dxa"/>
            <w:vMerge w:val="restart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临沂市直事业单位</w:t>
            </w: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沂蒙优才博士岗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10人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不限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博士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暂不定单位，引进后根据实际再分配到市直事业单位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0539-8726263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沂蒙优才硕士岗A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不限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限男性。限42所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“一流大学”建设高校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暂不定单位，引进后根据实际再分配到市直事业单位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0539-8726263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沂蒙优才硕士岗B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不限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硕士研究生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硕士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限女性。限42所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“一流大学”建设高校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暂不定单位，引进后根据实际再分配到市直事业单位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0539-8726263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沂蒙优才本科岗A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不限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限男性。限42所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“一流大学”建设高校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暂不定单位，引进后根据实际再分配到市直事业单位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0539-8726263</w:t>
            </w:r>
          </w:p>
        </w:tc>
      </w:tr>
      <w:tr>
        <w:tblPrEx>
          <w:tblBorders>
            <w:top w:val="single" w:color="ADD9C0" w:sz="4" w:space="0"/>
            <w:left w:val="single" w:color="ADD9C0" w:sz="4" w:space="0"/>
            <w:bottom w:val="single" w:color="ADD9C0" w:sz="4" w:space="0"/>
            <w:right w:val="single" w:color="ADD9C0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</w:trPr>
        <w:tc>
          <w:tcPr>
            <w:tcW w:w="34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28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212" w:type="dxa"/>
            <w:vMerge w:val="continue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sz w:val="14"/>
                <w:szCs w:val="14"/>
              </w:rPr>
            </w:pPr>
          </w:p>
        </w:tc>
        <w:tc>
          <w:tcPr>
            <w:tcW w:w="114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沂蒙优才本科岗B</w:t>
            </w:r>
          </w:p>
        </w:tc>
        <w:tc>
          <w:tcPr>
            <w:tcW w:w="600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5人</w:t>
            </w:r>
          </w:p>
        </w:tc>
        <w:tc>
          <w:tcPr>
            <w:tcW w:w="326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不限</w:t>
            </w:r>
          </w:p>
        </w:tc>
        <w:tc>
          <w:tcPr>
            <w:tcW w:w="92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大学本科</w:t>
            </w:r>
          </w:p>
        </w:tc>
        <w:tc>
          <w:tcPr>
            <w:tcW w:w="74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学士</w:t>
            </w:r>
          </w:p>
        </w:tc>
        <w:tc>
          <w:tcPr>
            <w:tcW w:w="1284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限女性。限42所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“一流大学”建设高校</w:t>
            </w:r>
          </w:p>
        </w:tc>
        <w:tc>
          <w:tcPr>
            <w:tcW w:w="112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暂不定单位，引进后根据实际再分配到市直事业单位</w:t>
            </w:r>
          </w:p>
        </w:tc>
        <w:tc>
          <w:tcPr>
            <w:tcW w:w="1608" w:type="dxa"/>
            <w:tcBorders>
              <w:top w:val="single" w:color="ADD9C0" w:sz="4" w:space="0"/>
              <w:left w:val="single" w:color="ADD9C0" w:sz="4" w:space="0"/>
              <w:bottom w:val="single" w:color="ADD9C0" w:sz="4" w:space="0"/>
              <w:right w:val="single" w:color="ADD9C0" w:sz="4" w:space="0"/>
            </w:tcBorders>
            <w:shd w:val="clear"/>
            <w:tcMar>
              <w:top w:w="36" w:type="dxa"/>
              <w:left w:w="36" w:type="dxa"/>
              <w:bottom w:w="36" w:type="dxa"/>
              <w:right w:w="36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spacing w:line="300" w:lineRule="atLeast"/>
              <w:rPr>
                <w:rFonts w:hint="eastAsia" w:ascii="微软雅黑" w:hAnsi="微软雅黑" w:eastAsia="微软雅黑" w:cs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微软雅黑"/>
                <w:sz w:val="18"/>
                <w:szCs w:val="18"/>
              </w:rPr>
              <w:t>王老师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</w:pPr>
            <w:r>
              <w:rPr>
                <w:bdr w:val="none" w:color="auto" w:sz="0" w:space="0"/>
              </w:rPr>
              <w:t>0539-8726263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pacing w:before="422" w:beforeAutospacing="0" w:after="0" w:afterAutospacing="0"/>
        <w:ind w:left="0" w:right="0" w:firstLine="420"/>
      </w:pPr>
      <w:r>
        <w:rPr>
          <w:rFonts w:hint="eastAsia" w:ascii="微软雅黑" w:hAnsi="微软雅黑" w:eastAsia="微软雅黑" w:cs="微软雅黑"/>
          <w:sz w:val="14"/>
          <w:szCs w:val="14"/>
          <w:shd w:val="clear" w:fill="FFFFFF"/>
        </w:rPr>
        <w:t xml:space="preserve">  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before="422" w:beforeAutospacing="0" w:after="0" w:afterAutospacing="0"/>
        <w:ind w:left="0" w:right="0"/>
        <w:jc w:val="left"/>
        <w:rPr>
          <w:rFonts w:hint="eastAsia" w:ascii="微软雅黑" w:hAnsi="微软雅黑" w:eastAsia="微软雅黑" w:cs="微软雅黑"/>
          <w:sz w:val="14"/>
          <w:szCs w:val="14"/>
        </w:rPr>
      </w:pPr>
      <w:r>
        <w:rPr>
          <w:rFonts w:hint="eastAsia" w:ascii="微软雅黑" w:hAnsi="微软雅黑" w:eastAsia="微软雅黑" w:cs="微软雅黑"/>
          <w:kern w:val="0"/>
          <w:sz w:val="16"/>
          <w:szCs w:val="16"/>
          <w:shd w:val="clear" w:fill="FFFFFF"/>
          <w:lang w:val="en-US" w:eastAsia="zh-CN" w:bidi="ar"/>
        </w:rPr>
        <w:t>    </w:t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instrText xml:space="preserve"> HYPERLINK "http://rsj.linyi.gov.cn/info/1024/javascript:history.back(1)" \t "http://rsj.linyi.gov.cn/info/1024/_self" </w:instrText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color w:val="656565"/>
          <w:kern w:val="0"/>
          <w:sz w:val="16"/>
          <w:szCs w:val="16"/>
          <w:u w:val="none"/>
          <w:shd w:val="clear" w:fill="FFFFFF"/>
          <w:lang w:val="en-US" w:eastAsia="zh-CN" w:bidi="ar"/>
        </w:rPr>
        <w:fldChar w:fldCharType="end"/>
      </w:r>
    </w:p>
    <w:p>
      <w:pPr>
        <w:pStyle w:val="12"/>
      </w:pPr>
      <w:r>
        <w:t>窗体底端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΢���ź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C714DD"/>
    <w:rsid w:val="6BC7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"/>
    <w:lsdException w:unhideWhenUsed="0" w:uiPriority="0" w:semiHidden="0" w:name="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uiPriority w:val="0"/>
    <w:rPr>
      <w:rFonts w:hint="default" w:ascii="΢���ź�" w:hAnsi="΢���ź�" w:eastAsia="΢���ź�" w:cs="΢���ź�"/>
      <w:color w:val="515151"/>
      <w:sz w:val="16"/>
      <w:szCs w:val="16"/>
      <w:u w:val="none"/>
    </w:rPr>
  </w:style>
  <w:style w:type="character" w:styleId="8">
    <w:name w:val="Hyperlink"/>
    <w:basedOn w:val="5"/>
    <w:uiPriority w:val="0"/>
    <w:rPr>
      <w:rFonts w:ascii="΢���ź�" w:hAnsi="΢���ź�" w:eastAsia="΢���ź�" w:cs="΢���ź�"/>
      <w:color w:val="515151"/>
      <w:sz w:val="16"/>
      <w:szCs w:val="16"/>
      <w:u w:val="none"/>
    </w:rPr>
  </w:style>
  <w:style w:type="character" w:customStyle="1" w:styleId="9">
    <w:name w:val="top"/>
    <w:basedOn w:val="5"/>
    <w:uiPriority w:val="0"/>
    <w:rPr>
      <w:bdr w:val="dashed" w:color="auto" w:sz="48" w:space="0"/>
    </w:rPr>
  </w:style>
  <w:style w:type="character" w:customStyle="1" w:styleId="10">
    <w:name w:val="bot"/>
    <w:basedOn w:val="5"/>
    <w:uiPriority w:val="0"/>
    <w:rPr>
      <w:bdr w:val="single" w:color="FFFFFF" w:sz="48" w:space="0"/>
    </w:rPr>
  </w:style>
  <w:style w:type="paragraph" w:styleId="11">
    <w:name w:val=""/>
    <w:basedOn w:val="1"/>
    <w:next w:val="1"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styleId="12">
    <w:name w:val=""/>
    <w:basedOn w:val="1"/>
    <w:next w:val="1"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2020-03-13T06:06:00Z</dcterms:created>
  <dc:creator>ぺ灬cc果冻ル</dc:creator>
  <cp:lastModifiedBy>ぺ灬cc果冻ル</cp:lastModifiedBy>
  <dcterms:modified xsi:type="dcterms:W3CDTF">2020-03-13T06:11:17Z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