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70"/>
        <w:gridCol w:w="1395"/>
        <w:gridCol w:w="6555"/>
      </w:tblGrid>
      <w:tr w:rsidR="00104EB9" w:rsidRPr="00104EB9" w:rsidTr="00104EB9">
        <w:trPr>
          <w:trHeight w:val="570"/>
          <w:tblCellSpacing w:w="0" w:type="dxa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优选职位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优选名额</w:t>
            </w:r>
          </w:p>
        </w:tc>
        <w:tc>
          <w:tcPr>
            <w:tcW w:w="6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优选条件</w:t>
            </w:r>
          </w:p>
        </w:tc>
      </w:tr>
      <w:tr w:rsidR="00104EB9" w:rsidRPr="00104EB9" w:rsidTr="00104EB9">
        <w:trPr>
          <w:trHeight w:val="690"/>
          <w:tblCellSpacing w:w="0" w:type="dxa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综合管理A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30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限经济学类、金融学类、经济与贸易类、财政学类、统计学类、财务管理、会计学和审计学及相关专业</w:t>
            </w:r>
          </w:p>
        </w:tc>
      </w:tr>
      <w:tr w:rsidR="00104EB9" w:rsidRPr="00104EB9" w:rsidTr="00104EB9">
        <w:trPr>
          <w:trHeight w:val="675"/>
          <w:tblCellSpacing w:w="0" w:type="dxa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综合管理B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限管理科学与工程类、工商管理类、农林经济管理类、公共管理类、工业工程类、电子商务类、旅游管理类及相关专业</w:t>
            </w:r>
          </w:p>
        </w:tc>
      </w:tr>
      <w:tr w:rsidR="00104EB9" w:rsidRPr="00104EB9" w:rsidTr="00104EB9">
        <w:trPr>
          <w:trHeight w:val="675"/>
          <w:tblCellSpacing w:w="0" w:type="dxa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综合管理C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10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限公共卫生与预防医学类、中医学类、中西医结合类、临床医学类及相关专业</w:t>
            </w:r>
          </w:p>
        </w:tc>
      </w:tr>
      <w:tr w:rsidR="00104EB9" w:rsidRPr="00104EB9" w:rsidTr="00104EB9">
        <w:trPr>
          <w:trHeight w:val="630"/>
          <w:tblCellSpacing w:w="0" w:type="dxa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综合管理D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15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1. 大学本科生毕业于一流大学建设高校的不限专业；毕业于一流学科建设高校的需为一流学科专业（见附件1）；</w:t>
            </w:r>
          </w:p>
          <w:p w:rsidR="00104EB9" w:rsidRPr="00104EB9" w:rsidRDefault="00104EB9" w:rsidP="00104EB9">
            <w:pPr>
              <w:adjustRightInd/>
              <w:snapToGrid/>
              <w:spacing w:after="0" w:line="315" w:lineRule="atLeast"/>
              <w:rPr>
                <w:rFonts w:ascii="微软雅黑" w:hAnsi="微软雅黑" w:cs="宋体" w:hint="eastAsia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pacing w:val="-15"/>
                <w:sz w:val="24"/>
                <w:szCs w:val="24"/>
                <w:bdr w:val="none" w:sz="0" w:space="0" w:color="auto" w:frame="1"/>
              </w:rPr>
              <w:t>2. 硕士研究生需符合山亭区2020年青年人才优选硕士研究生专业分类目录（见附件2）；</w:t>
            </w:r>
          </w:p>
          <w:p w:rsidR="00104EB9" w:rsidRPr="00104EB9" w:rsidRDefault="00104EB9" w:rsidP="00104EB9"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3. 限男性报名。</w:t>
            </w:r>
          </w:p>
        </w:tc>
      </w:tr>
      <w:tr w:rsidR="00104EB9" w:rsidRPr="00104EB9" w:rsidTr="00104EB9">
        <w:trPr>
          <w:trHeight w:val="795"/>
          <w:tblCellSpacing w:w="0" w:type="dxa"/>
        </w:trPr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综合管理E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15" w:lineRule="atLeast"/>
              <w:jc w:val="center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15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4EB9" w:rsidRPr="00104EB9" w:rsidRDefault="00104EB9" w:rsidP="00104EB9"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1.大学本科生毕业于一流大学建设高校的不限专业；毕业于一流学科建设高校的需为一流学科专业（见附件1）；</w:t>
            </w:r>
          </w:p>
          <w:p w:rsidR="00104EB9" w:rsidRPr="00104EB9" w:rsidRDefault="00104EB9" w:rsidP="00104EB9">
            <w:pPr>
              <w:adjustRightInd/>
              <w:snapToGrid/>
              <w:spacing w:after="0" w:line="315" w:lineRule="atLeast"/>
              <w:rPr>
                <w:rFonts w:ascii="微软雅黑" w:hAnsi="微软雅黑" w:cs="宋体" w:hint="eastAsia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pacing w:val="-15"/>
                <w:sz w:val="24"/>
                <w:szCs w:val="24"/>
                <w:bdr w:val="none" w:sz="0" w:space="0" w:color="auto" w:frame="1"/>
              </w:rPr>
              <w:t>2.硕士研究生需符合山亭区2020年青年人才优选硕士研究生专业分类目录（见附件2）；</w:t>
            </w:r>
          </w:p>
          <w:p w:rsidR="00104EB9" w:rsidRPr="00104EB9" w:rsidRDefault="00104EB9" w:rsidP="00104EB9">
            <w:pPr>
              <w:adjustRightInd/>
              <w:snapToGrid/>
              <w:spacing w:after="0" w:line="315" w:lineRule="atLeast"/>
              <w:rPr>
                <w:rFonts w:ascii="微软雅黑" w:hAnsi="微软雅黑" w:cs="宋体"/>
                <w:color w:val="3A3A3A"/>
                <w:sz w:val="24"/>
                <w:szCs w:val="24"/>
              </w:rPr>
            </w:pPr>
            <w:r w:rsidRPr="00104EB9">
              <w:rPr>
                <w:rFonts w:ascii="微软雅黑" w:hAnsi="微软雅黑" w:cs="宋体" w:hint="eastAsia"/>
                <w:color w:val="3A3A3A"/>
                <w:spacing w:val="-15"/>
                <w:sz w:val="24"/>
                <w:szCs w:val="24"/>
                <w:bdr w:val="none" w:sz="0" w:space="0" w:color="auto" w:frame="1"/>
              </w:rPr>
              <w:t>3.</w:t>
            </w:r>
            <w:r w:rsidRPr="00104EB9">
              <w:rPr>
                <w:rFonts w:ascii="微软雅黑" w:hAnsi="微软雅黑" w:cs="宋体" w:hint="eastAsia"/>
                <w:color w:val="3A3A3A"/>
                <w:sz w:val="24"/>
                <w:szCs w:val="24"/>
              </w:rPr>
              <w:t>限女性报名。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04EB9"/>
    <w:rsid w:val="000C2C2F"/>
    <w:rsid w:val="00104EB9"/>
    <w:rsid w:val="00323B43"/>
    <w:rsid w:val="003D37D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104EB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2020-06-08T11:18:00Z</dcterms:created>
  <dcterms:modified xsi:type="dcterms:W3CDTF">2020-06-08T11:22:00Z</dcterms:modified>
</cp:coreProperties>
</file>