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hint="eastAsia" w:ascii="宋体" w:hAnsi="宋体" w:eastAsia="宋体" w:cs="宋体"/>
          <w:i w:val="0"/>
          <w:caps w:val="0"/>
          <w:color w:val="000000"/>
          <w:spacing w:val="0"/>
          <w:sz w:val="18"/>
          <w:szCs w:val="18"/>
        </w:rPr>
      </w:pPr>
      <w:r>
        <w:rPr>
          <w:rFonts w:ascii="serif" w:hAnsi="serif" w:eastAsia="serif" w:cs="serif"/>
          <w:i w:val="0"/>
          <w:caps w:val="0"/>
          <w:color w:val="000000"/>
          <w:spacing w:val="0"/>
          <w:sz w:val="22"/>
          <w:szCs w:val="22"/>
          <w:lang w:val="en-US"/>
        </w:rPr>
        <w:t> </w:t>
      </w:r>
      <w:r>
        <w:rPr>
          <w:rFonts w:hint="default" w:ascii="serif" w:hAnsi="serif" w:eastAsia="serif" w:cs="serif"/>
          <w:i w:val="0"/>
          <w:caps w:val="0"/>
          <w:color w:val="000000"/>
          <w:spacing w:val="0"/>
          <w:sz w:val="22"/>
          <w:szCs w:val="22"/>
          <w:lang w:val="en-US"/>
        </w:rPr>
        <w:t>( </w:t>
      </w:r>
      <w:r>
        <w:rPr>
          <w:rFonts w:hint="default" w:ascii="serif" w:hAnsi="serif" w:eastAsia="serif" w:cs="serif"/>
          <w:i w:val="0"/>
          <w:caps w:val="0"/>
          <w:color w:val="000000"/>
          <w:spacing w:val="0"/>
          <w:sz w:val="22"/>
          <w:szCs w:val="22"/>
        </w:rPr>
        <w:t>一）高层次人才</w:t>
      </w:r>
      <w:r>
        <w:rPr>
          <w:rFonts w:hint="eastAsia" w:ascii="宋体" w:hAnsi="宋体" w:eastAsia="宋体" w:cs="宋体"/>
          <w:i w:val="0"/>
          <w:caps w:val="0"/>
          <w:color w:val="000000"/>
          <w:spacing w:val="0"/>
          <w:sz w:val="25"/>
          <w:szCs w:val="25"/>
          <w:lang w:val="en-US"/>
        </w:rPr>
        <w:t>  </w:t>
      </w:r>
    </w:p>
    <w:tbl>
      <w:tblPr>
        <w:tblpPr w:vertAnchor="text" w:tblpXSpec="left"/>
        <w:tblW w:w="9458" w:type="dxa"/>
        <w:tblInd w:w="0" w:type="dxa"/>
        <w:shd w:val="clear"/>
        <w:tblLayout w:type="autofit"/>
        <w:tblCellMar>
          <w:top w:w="0" w:type="dxa"/>
          <w:left w:w="0" w:type="dxa"/>
          <w:bottom w:w="0" w:type="dxa"/>
          <w:right w:w="0" w:type="dxa"/>
        </w:tblCellMar>
      </w:tblPr>
      <w:tblGrid>
        <w:gridCol w:w="1240"/>
        <w:gridCol w:w="1240"/>
        <w:gridCol w:w="6978"/>
      </w:tblGrid>
      <w:tr>
        <w:tblPrEx>
          <w:shd w:val="clear"/>
          <w:tblCellMar>
            <w:top w:w="0" w:type="dxa"/>
            <w:left w:w="0" w:type="dxa"/>
            <w:bottom w:w="0" w:type="dxa"/>
            <w:right w:w="0" w:type="dxa"/>
          </w:tblCellMar>
        </w:tblPrEx>
        <w:trPr>
          <w:trHeight w:val="1094" w:hRule="atLeast"/>
        </w:trPr>
        <w:tc>
          <w:tcPr>
            <w:tcW w:w="1207" w:type="dxa"/>
            <w:tcBorders>
              <w:top w:val="single" w:color="000000" w:sz="6" w:space="0"/>
              <w:left w:val="single" w:color="000000" w:sz="6" w:space="0"/>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类别</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207" w:type="dxa"/>
            <w:tcBorders>
              <w:top w:val="single" w:color="000000" w:sz="6" w:space="0"/>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层次</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7044" w:type="dxa"/>
            <w:tcBorders>
              <w:top w:val="single" w:color="000000" w:sz="6" w:space="0"/>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i w:val="0"/>
                <w:caps w:val="0"/>
                <w:color w:val="000000"/>
                <w:spacing w:val="0"/>
                <w:kern w:val="0"/>
                <w:sz w:val="16"/>
                <w:szCs w:val="16"/>
                <w:lang w:val="en-US" w:eastAsia="zh-CN" w:bidi="ar"/>
              </w:rPr>
              <w:t>聘用条件</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1563" w:hRule="atLeast"/>
        </w:trPr>
        <w:tc>
          <w:tcPr>
            <w:tcW w:w="1207" w:type="dxa"/>
            <w:vMerge w:val="restart"/>
            <w:tcBorders>
              <w:top w:val="nil"/>
              <w:left w:val="single" w:color="000000" w:sz="6" w:space="0"/>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高层次专家</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207" w:type="dxa"/>
            <w:tcBorders>
              <w:top w:val="nil"/>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第一</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层次</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7044" w:type="dxa"/>
            <w:tcBorders>
              <w:top w:val="nil"/>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中国科学院院士；中国工程院院士；中国社会科学院学部委员，同类国（境）外科学院或工程院院士。</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bookmarkStart w:id="0" w:name="_GoBack"/>
            <w:bookmarkEnd w:id="0"/>
          </w:p>
        </w:tc>
      </w:tr>
      <w:tr>
        <w:tblPrEx>
          <w:tblCellMar>
            <w:top w:w="0" w:type="dxa"/>
            <w:left w:w="0" w:type="dxa"/>
            <w:bottom w:w="0" w:type="dxa"/>
            <w:right w:w="0" w:type="dxa"/>
          </w:tblCellMar>
        </w:tblPrEx>
        <w:trPr>
          <w:trHeight w:val="2788" w:hRule="atLeast"/>
        </w:trPr>
        <w:tc>
          <w:tcPr>
            <w:tcW w:w="1207" w:type="dxa"/>
            <w:vMerge w:val="continue"/>
            <w:tcBorders>
              <w:top w:val="nil"/>
              <w:left w:val="single" w:color="000000" w:sz="6" w:space="0"/>
              <w:bottom w:val="single" w:color="000000" w:sz="6" w:space="0"/>
              <w:right w:val="single" w:color="000000" w:sz="6" w:space="0"/>
            </w:tcBorders>
            <w:shd w:val="clear"/>
            <w:tcMar>
              <w:left w:w="90" w:type="dxa"/>
              <w:right w:w="90" w:type="dxa"/>
            </w:tcMar>
            <w:vAlign w:val="center"/>
          </w:tcPr>
          <w:p>
            <w:pPr>
              <w:rPr>
                <w:rFonts w:hint="eastAsia" w:ascii="宋体" w:hAnsi="宋体" w:eastAsia="宋体" w:cs="宋体"/>
                <w:i w:val="0"/>
                <w:caps w:val="0"/>
                <w:color w:val="000000"/>
                <w:spacing w:val="0"/>
                <w:sz w:val="18"/>
                <w:szCs w:val="18"/>
              </w:rPr>
            </w:pPr>
          </w:p>
        </w:tc>
        <w:tc>
          <w:tcPr>
            <w:tcW w:w="1207" w:type="dxa"/>
            <w:tcBorders>
              <w:top w:val="nil"/>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第二层次</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7044" w:type="dxa"/>
            <w:tcBorders>
              <w:top w:val="nil"/>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教育部“长江学者奖励计划”特聘教授或讲座教授；教育部“长江学者和创新团队发展计划”创新团队负责人；国务院学位委员会和学科评议组成员；国家“万人计划”杰出人才、领军人才；国家“百千万人才工程”国家级人选；“泰山学者攀登计划”入选者；国家级教学名师；国家级有突出贡献的中青年专家；国家自然科学基金杰出青年基金获得者；国家重点学科、国家重点实验室、国家基础学科人才培养和科学研究基地的学科带头人；</w:t>
            </w:r>
            <w:r>
              <w:rPr>
                <w:rFonts w:hint="eastAsia" w:ascii="宋体" w:hAnsi="宋体" w:eastAsia="宋体" w:cs="宋体"/>
                <w:i w:val="0"/>
                <w:caps w:val="0"/>
                <w:color w:val="000000"/>
                <w:spacing w:val="0"/>
                <w:kern w:val="0"/>
                <w:sz w:val="18"/>
                <w:szCs w:val="18"/>
                <w:lang w:val="en-US" w:eastAsia="zh-CN" w:bidi="ar"/>
              </w:rPr>
              <w:t>863</w:t>
            </w:r>
            <w:r>
              <w:rPr>
                <w:rFonts w:hint="eastAsia" w:ascii="宋体" w:hAnsi="宋体" w:eastAsia="宋体" w:cs="宋体"/>
                <w:i w:val="0"/>
                <w:caps w:val="0"/>
                <w:color w:val="000000"/>
                <w:spacing w:val="0"/>
                <w:kern w:val="0"/>
                <w:sz w:val="16"/>
                <w:szCs w:val="16"/>
                <w:lang w:val="en-US" w:eastAsia="zh-CN" w:bidi="ar"/>
              </w:rPr>
              <w:t>项目、</w:t>
            </w:r>
            <w:r>
              <w:rPr>
                <w:rFonts w:hint="eastAsia" w:ascii="宋体" w:hAnsi="宋体" w:eastAsia="宋体" w:cs="宋体"/>
                <w:i w:val="0"/>
                <w:caps w:val="0"/>
                <w:color w:val="000000"/>
                <w:spacing w:val="0"/>
                <w:kern w:val="0"/>
                <w:sz w:val="18"/>
                <w:szCs w:val="18"/>
                <w:lang w:val="en-US" w:eastAsia="zh-CN" w:bidi="ar"/>
              </w:rPr>
              <w:t>973</w:t>
            </w:r>
            <w:r>
              <w:rPr>
                <w:rFonts w:hint="eastAsia" w:ascii="宋体" w:hAnsi="宋体" w:eastAsia="宋体" w:cs="宋体"/>
                <w:i w:val="0"/>
                <w:caps w:val="0"/>
                <w:color w:val="000000"/>
                <w:spacing w:val="0"/>
                <w:kern w:val="0"/>
                <w:sz w:val="16"/>
                <w:szCs w:val="16"/>
                <w:lang w:val="en-US" w:eastAsia="zh-CN" w:bidi="ar"/>
              </w:rPr>
              <w:t>项目、国家科技支撑计划、国家重大科技专项、国家自然科学基金重点项目等国家级重点项目首席科学家；国家社科基金重大项目招标课题首席专家等。</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1668" w:hRule="atLeast"/>
        </w:trPr>
        <w:tc>
          <w:tcPr>
            <w:tcW w:w="1207" w:type="dxa"/>
            <w:vMerge w:val="continue"/>
            <w:tcBorders>
              <w:top w:val="nil"/>
              <w:left w:val="single" w:color="000000" w:sz="6" w:space="0"/>
              <w:bottom w:val="single" w:color="000000" w:sz="6" w:space="0"/>
              <w:right w:val="single" w:color="000000" w:sz="6" w:space="0"/>
            </w:tcBorders>
            <w:shd w:val="clear"/>
            <w:tcMar>
              <w:left w:w="90" w:type="dxa"/>
              <w:right w:w="90" w:type="dxa"/>
            </w:tcMar>
            <w:vAlign w:val="center"/>
          </w:tcPr>
          <w:p>
            <w:pPr>
              <w:rPr>
                <w:rFonts w:hint="eastAsia" w:ascii="宋体" w:hAnsi="宋体" w:eastAsia="宋体" w:cs="宋体"/>
                <w:i w:val="0"/>
                <w:caps w:val="0"/>
                <w:color w:val="000000"/>
                <w:spacing w:val="0"/>
                <w:sz w:val="18"/>
                <w:szCs w:val="18"/>
              </w:rPr>
            </w:pPr>
          </w:p>
        </w:tc>
        <w:tc>
          <w:tcPr>
            <w:tcW w:w="1207" w:type="dxa"/>
            <w:tcBorders>
              <w:top w:val="nil"/>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第三</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层次</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7044" w:type="dxa"/>
            <w:tcBorders>
              <w:top w:val="nil"/>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国家“万人计划”青年拔尖人才；中科院“百人计划”入选者；山东省“泰山学者（海外）”特聘教授</w:t>
            </w:r>
            <w:r>
              <w:rPr>
                <w:rFonts w:hint="eastAsia" w:ascii="宋体" w:hAnsi="宋体" w:eastAsia="宋体" w:cs="宋体"/>
                <w:i w:val="0"/>
                <w:caps w:val="0"/>
                <w:color w:val="000000"/>
                <w:spacing w:val="0"/>
                <w:kern w:val="0"/>
                <w:sz w:val="18"/>
                <w:szCs w:val="18"/>
                <w:lang w:val="en-US" w:eastAsia="zh-CN" w:bidi="ar"/>
              </w:rPr>
              <w:t>(</w:t>
            </w:r>
            <w:r>
              <w:rPr>
                <w:rFonts w:hint="eastAsia" w:ascii="宋体" w:hAnsi="宋体" w:eastAsia="宋体" w:cs="宋体"/>
                <w:i w:val="0"/>
                <w:caps w:val="0"/>
                <w:color w:val="000000"/>
                <w:spacing w:val="0"/>
                <w:kern w:val="0"/>
                <w:sz w:val="16"/>
                <w:szCs w:val="16"/>
                <w:lang w:val="en-US" w:eastAsia="zh-CN" w:bidi="ar"/>
              </w:rPr>
              <w:t>专家</w:t>
            </w:r>
            <w:r>
              <w:rPr>
                <w:rFonts w:hint="eastAsia" w:ascii="宋体" w:hAnsi="宋体" w:eastAsia="宋体" w:cs="宋体"/>
                <w:i w:val="0"/>
                <w:caps w:val="0"/>
                <w:color w:val="000000"/>
                <w:spacing w:val="0"/>
                <w:kern w:val="0"/>
                <w:sz w:val="18"/>
                <w:szCs w:val="18"/>
                <w:lang w:val="en-US" w:eastAsia="zh-CN" w:bidi="ar"/>
              </w:rPr>
              <w:t>)</w:t>
            </w:r>
            <w:r>
              <w:rPr>
                <w:rFonts w:hint="eastAsia" w:ascii="宋体" w:hAnsi="宋体" w:eastAsia="宋体" w:cs="宋体"/>
                <w:i w:val="0"/>
                <w:caps w:val="0"/>
                <w:color w:val="000000"/>
                <w:spacing w:val="0"/>
                <w:kern w:val="0"/>
                <w:sz w:val="16"/>
                <w:szCs w:val="16"/>
                <w:lang w:val="en-US" w:eastAsia="zh-CN" w:bidi="ar"/>
              </w:rPr>
              <w:t>；山东省引进海外高层次人才“万人计划”第一层次人选；教育部“新世纪优秀人才支持计划”入选者；国家自然科学基金优秀青年基金或省杰出青年科学基金负责人等。</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1563" w:hRule="atLeast"/>
        </w:trPr>
        <w:tc>
          <w:tcPr>
            <w:tcW w:w="1207" w:type="dxa"/>
            <w:vMerge w:val="continue"/>
            <w:tcBorders>
              <w:top w:val="nil"/>
              <w:left w:val="single" w:color="000000" w:sz="6" w:space="0"/>
              <w:bottom w:val="single" w:color="000000" w:sz="6" w:space="0"/>
              <w:right w:val="single" w:color="000000" w:sz="6" w:space="0"/>
            </w:tcBorders>
            <w:shd w:val="clear"/>
            <w:tcMar>
              <w:left w:w="90" w:type="dxa"/>
              <w:right w:w="90" w:type="dxa"/>
            </w:tcMar>
            <w:vAlign w:val="center"/>
          </w:tcPr>
          <w:p>
            <w:pPr>
              <w:rPr>
                <w:rFonts w:hint="eastAsia" w:ascii="宋体" w:hAnsi="宋体" w:eastAsia="宋体" w:cs="宋体"/>
                <w:i w:val="0"/>
                <w:caps w:val="0"/>
                <w:color w:val="000000"/>
                <w:spacing w:val="0"/>
                <w:sz w:val="18"/>
                <w:szCs w:val="18"/>
              </w:rPr>
            </w:pPr>
          </w:p>
        </w:tc>
        <w:tc>
          <w:tcPr>
            <w:tcW w:w="1207" w:type="dxa"/>
            <w:tcBorders>
              <w:top w:val="nil"/>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第四</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层次</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7044" w:type="dxa"/>
            <w:tcBorders>
              <w:top w:val="nil"/>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具有博士学位的教授，在科学研究方面取得国内外同行公认的重要成就，对本学科建设和学术研究有创新性构想，具有带领本学科赶超先进水平的能力。</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1295" w:hRule="atLeast"/>
        </w:trPr>
        <w:tc>
          <w:tcPr>
            <w:tcW w:w="2414" w:type="dxa"/>
            <w:gridSpan w:val="2"/>
            <w:tcBorders>
              <w:top w:val="nil"/>
              <w:left w:val="single" w:color="000000" w:sz="6" w:space="0"/>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应用型人才</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7044" w:type="dxa"/>
            <w:tcBorders>
              <w:top w:val="nil"/>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具有硕士及以上学位和高级专业技术职务</w:t>
            </w:r>
            <w:r>
              <w:rPr>
                <w:rFonts w:hint="eastAsia" w:ascii="宋体" w:hAnsi="宋体" w:eastAsia="宋体" w:cs="宋体"/>
                <w:i w:val="0"/>
                <w:caps w:val="0"/>
                <w:color w:val="000000"/>
                <w:spacing w:val="0"/>
                <w:kern w:val="0"/>
                <w:sz w:val="18"/>
                <w:szCs w:val="18"/>
                <w:lang w:val="en-US" w:eastAsia="zh-CN" w:bidi="ar"/>
              </w:rPr>
              <w:t>,</w:t>
            </w:r>
            <w:r>
              <w:rPr>
                <w:rFonts w:hint="eastAsia" w:ascii="宋体" w:hAnsi="宋体" w:eastAsia="宋体" w:cs="宋体"/>
                <w:i w:val="0"/>
                <w:caps w:val="0"/>
                <w:color w:val="000000"/>
                <w:spacing w:val="0"/>
                <w:kern w:val="0"/>
                <w:sz w:val="16"/>
                <w:szCs w:val="16"/>
                <w:lang w:val="en-US" w:eastAsia="zh-CN" w:bidi="ar"/>
              </w:rPr>
              <w:t>有与本专业相关的执业资格证书或本专业两年以上企业生产、建设、管理等一线工作经历，能指导本专业理论教学和实践教学的“双师型”人才。</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654" w:hRule="atLeast"/>
        </w:trPr>
        <w:tc>
          <w:tcPr>
            <w:tcW w:w="2414" w:type="dxa"/>
            <w:gridSpan w:val="2"/>
            <w:tcBorders>
              <w:top w:val="nil"/>
              <w:left w:val="single" w:color="000000" w:sz="6" w:space="0"/>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高水平科研团队</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7044" w:type="dxa"/>
            <w:tcBorders>
              <w:top w:val="nil"/>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围绕学校重点学科、特色专业、重点实验室、人文社科研究基地或学校跨学科平台、专业群建设引进高水平科研团队。</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1308" w:hRule="atLeast"/>
        </w:trPr>
        <w:tc>
          <w:tcPr>
            <w:tcW w:w="2414" w:type="dxa"/>
            <w:gridSpan w:val="2"/>
            <w:tcBorders>
              <w:top w:val="nil"/>
              <w:left w:val="single" w:color="000000" w:sz="6" w:space="0"/>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特聘教授</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7044" w:type="dxa"/>
            <w:tcBorders>
              <w:top w:val="nil"/>
              <w:left w:val="nil"/>
              <w:bottom w:val="single" w:color="000000" w:sz="6" w:space="0"/>
              <w:right w:val="single" w:color="000000" w:sz="6" w:space="0"/>
            </w:tcBorders>
            <w:shd w:val="clear"/>
            <w:tcMar>
              <w:left w:w="90" w:type="dxa"/>
              <w:right w:w="90"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left"/>
            </w:pPr>
            <w:r>
              <w:rPr>
                <w:rFonts w:hint="eastAsia" w:ascii="宋体" w:hAnsi="宋体" w:eastAsia="宋体" w:cs="宋体"/>
                <w:i w:val="0"/>
                <w:caps w:val="0"/>
                <w:color w:val="000000"/>
                <w:spacing w:val="0"/>
                <w:kern w:val="0"/>
                <w:sz w:val="16"/>
                <w:szCs w:val="16"/>
                <w:lang w:val="en-US" w:eastAsia="zh-CN" w:bidi="ar"/>
              </w:rPr>
              <w:t>柔性引进高层次专家、高水平科研团队带头人、高级应用型人才、国（境）外大学（科研机构）相当于副教授（副研究员）及以上职称的专家学者或符合学校学科（专业）需要的其他高水平国内外专家学者等。</w:t>
            </w:r>
            <w:r>
              <w:rPr>
                <w:rFonts w:hint="eastAsia" w:ascii="宋体" w:hAnsi="宋体" w:eastAsia="宋体" w:cs="宋体"/>
                <w:i w:val="0"/>
                <w:caps w:val="0"/>
                <w:color w:val="000000"/>
                <w:spacing w:val="0"/>
                <w:kern w:val="0"/>
                <w:sz w:val="18"/>
                <w:szCs w:val="18"/>
                <w:lang w:val="en-US" w:eastAsia="zh-CN" w:bidi="ar"/>
              </w:rPr>
              <w:t>      </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r>
    </w:tbl>
    <w:p>
      <w:pPr>
        <w:keepNext w:val="0"/>
        <w:keepLines w:val="0"/>
        <w:widowControl/>
        <w:suppressLineNumbers w:val="0"/>
        <w:spacing w:before="60" w:beforeAutospacing="0" w:after="60" w:afterAutospacing="0" w:line="435" w:lineRule="atLeast"/>
        <w:ind w:left="0" w:right="0" w:firstLine="0"/>
        <w:jc w:val="left"/>
        <w:rPr>
          <w:rFonts w:hint="eastAsia" w:ascii="宋体" w:hAnsi="宋体" w:eastAsia="宋体" w:cs="宋体"/>
          <w:i w:val="0"/>
          <w:caps w:val="0"/>
          <w:color w:val="000000"/>
          <w:spacing w:val="0"/>
          <w:sz w:val="18"/>
          <w:szCs w:val="18"/>
        </w:rPr>
      </w:pPr>
      <w:r>
        <w:rPr>
          <w:rFonts w:hint="default" w:ascii="serif" w:hAnsi="serif" w:eastAsia="serif" w:cs="serif"/>
          <w:i w:val="0"/>
          <w:caps w:val="0"/>
          <w:color w:val="0D0D0D"/>
          <w:spacing w:val="0"/>
          <w:kern w:val="0"/>
          <w:sz w:val="22"/>
          <w:szCs w:val="22"/>
          <w:lang w:val="en-US" w:eastAsia="zh-CN" w:bidi="ar"/>
        </w:rPr>
        <w:t>泰山学者青年专家计划等省部级标志性青年人才计划全职引进人员和有志于菏泽学院建设发展的各类高层次人才，我们竭诚欢迎加盟，共创我们美好的明天。</w:t>
      </w:r>
    </w:p>
    <w:p>
      <w:pPr>
        <w:pStyle w:val="2"/>
        <w:keepNext w:val="0"/>
        <w:keepLines w:val="0"/>
        <w:widowControl/>
        <w:suppressLineNumbers w:val="0"/>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2"/>
          <w:szCs w:val="22"/>
          <w:lang w:val="en-US" w:eastAsia="zh-CN" w:bidi="ar"/>
        </w:rPr>
        <w:t>（二）博士和应用型人才</w:t>
      </w:r>
      <w:r>
        <w:rPr>
          <w:rFonts w:hint="eastAsia" w:ascii="宋体" w:hAnsi="宋体" w:eastAsia="宋体" w:cs="宋体"/>
          <w:i w:val="0"/>
          <w:caps w:val="0"/>
          <w:color w:val="000000"/>
          <w:spacing w:val="0"/>
          <w:sz w:val="24"/>
          <w:szCs w:val="24"/>
        </w:rPr>
        <w:t>                   </w:t>
      </w:r>
    </w:p>
    <w:tbl>
      <w:tblPr>
        <w:tblW w:w="9855" w:type="dxa"/>
        <w:tblInd w:w="75" w:type="dxa"/>
        <w:shd w:val="clear"/>
        <w:tblLayout w:type="autofit"/>
        <w:tblCellMar>
          <w:top w:w="0" w:type="dxa"/>
          <w:left w:w="0" w:type="dxa"/>
          <w:bottom w:w="0" w:type="dxa"/>
          <w:right w:w="0" w:type="dxa"/>
        </w:tblCellMar>
      </w:tblPr>
      <w:tblGrid>
        <w:gridCol w:w="1349"/>
        <w:gridCol w:w="1724"/>
        <w:gridCol w:w="1274"/>
        <w:gridCol w:w="1949"/>
        <w:gridCol w:w="1743"/>
        <w:gridCol w:w="1799"/>
        <w:gridCol w:w="17"/>
      </w:tblGrid>
      <w:tr>
        <w:tblPrEx>
          <w:shd w:val="clear"/>
        </w:tblPrEx>
        <w:trPr>
          <w:trHeight w:val="585" w:hRule="atLeast"/>
        </w:trPr>
        <w:tc>
          <w:tcPr>
            <w:tcW w:w="1080"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单位</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3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拟引进人才学科、专业</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02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学历学位</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56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研究方向</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39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岗位</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44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引进人数</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 w:type="dxa"/>
            <w:tcBorders>
              <w:top w:val="nil"/>
              <w:left w:val="nil"/>
              <w:bottom w:val="nil"/>
              <w:right w:val="nil"/>
            </w:tcBorders>
            <w:shd w:val="clear"/>
            <w:vAlign w:val="center"/>
          </w:tcPr>
          <w:p>
            <w:pPr>
              <w:rPr>
                <w:rFonts w:hint="eastAsia" w:ascii="宋体" w:hAnsi="宋体" w:eastAsia="宋体" w:cs="宋体"/>
                <w:i w:val="0"/>
                <w:caps w:val="0"/>
                <w:color w:val="000000"/>
                <w:spacing w:val="0"/>
                <w:sz w:val="18"/>
                <w:szCs w:val="18"/>
              </w:rPr>
            </w:pPr>
          </w:p>
        </w:tc>
      </w:tr>
      <w:tr>
        <w:tblPrEx>
          <w:tblCellMar>
            <w:top w:w="0" w:type="dxa"/>
            <w:left w:w="0" w:type="dxa"/>
            <w:bottom w:w="0" w:type="dxa"/>
            <w:right w:w="0" w:type="dxa"/>
          </w:tblCellMar>
        </w:tblPrEx>
        <w:trPr>
          <w:trHeight w:val="585" w:hRule="atLeast"/>
        </w:trPr>
        <w:tc>
          <w:tcPr>
            <w:tcW w:w="108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02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56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9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44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6" w:type="dxa"/>
            <w:tcBorders>
              <w:top w:val="nil"/>
              <w:left w:val="nil"/>
              <w:bottom w:val="nil"/>
              <w:right w:val="nil"/>
            </w:tcBorders>
            <w:shd w:val="clear"/>
            <w:vAlign w:val="center"/>
          </w:tcPr>
          <w:p>
            <w:pPr>
              <w:rPr>
                <w:rFonts w:hint="eastAsia" w:ascii="宋体" w:hAnsi="宋体" w:eastAsia="宋体" w:cs="宋体"/>
                <w:i w:val="0"/>
                <w:caps w:val="0"/>
                <w:color w:val="000000"/>
                <w:spacing w:val="0"/>
                <w:sz w:val="18"/>
                <w:szCs w:val="18"/>
              </w:rPr>
            </w:pPr>
          </w:p>
        </w:tc>
      </w:tr>
      <w:tr>
        <w:tblPrEx>
          <w:tblCellMar>
            <w:top w:w="0" w:type="dxa"/>
            <w:left w:w="0" w:type="dxa"/>
            <w:bottom w:w="0" w:type="dxa"/>
            <w:right w:w="0" w:type="dxa"/>
          </w:tblCellMar>
        </w:tblPrEx>
        <w:trPr>
          <w:trHeight w:val="405" w:hRule="atLeast"/>
        </w:trPr>
        <w:tc>
          <w:tcPr>
            <w:tcW w:w="1080"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政法学院</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38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马克思主义哲学</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博士研究生</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95"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教师</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44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1</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 w:type="dxa"/>
            <w:tcBorders>
              <w:top w:val="nil"/>
              <w:left w:val="nil"/>
              <w:bottom w:val="nil"/>
              <w:right w:val="nil"/>
            </w:tcBorders>
            <w:shd w:val="clear"/>
            <w:vAlign w:val="center"/>
          </w:tcPr>
          <w:p>
            <w:pPr>
              <w:rPr>
                <w:rFonts w:hint="eastAsia" w:ascii="宋体" w:hAnsi="宋体" w:eastAsia="宋体" w:cs="宋体"/>
                <w:i w:val="0"/>
                <w:caps w:val="0"/>
                <w:color w:val="000000"/>
                <w:spacing w:val="0"/>
                <w:sz w:val="18"/>
                <w:szCs w:val="18"/>
              </w:rPr>
            </w:pPr>
          </w:p>
        </w:tc>
      </w:tr>
      <w:tr>
        <w:tblPrEx>
          <w:tblCellMar>
            <w:top w:w="0" w:type="dxa"/>
            <w:left w:w="0" w:type="dxa"/>
            <w:bottom w:w="0" w:type="dxa"/>
            <w:right w:w="0" w:type="dxa"/>
          </w:tblCellMar>
        </w:tblPrEx>
        <w:trPr>
          <w:trHeight w:val="405" w:hRule="atLeast"/>
        </w:trPr>
        <w:tc>
          <w:tcPr>
            <w:tcW w:w="108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8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科学技术哲学</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博士研究生</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95"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教师</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44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1</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 w:type="dxa"/>
            <w:tcBorders>
              <w:top w:val="nil"/>
              <w:left w:val="nil"/>
              <w:bottom w:val="nil"/>
              <w:right w:val="nil"/>
            </w:tcBorders>
            <w:shd w:val="clear"/>
            <w:vAlign w:val="center"/>
          </w:tcPr>
          <w:p>
            <w:pPr>
              <w:rPr>
                <w:rFonts w:hint="eastAsia" w:ascii="宋体" w:hAnsi="宋体" w:eastAsia="宋体" w:cs="宋体"/>
                <w:i w:val="0"/>
                <w:caps w:val="0"/>
                <w:color w:val="000000"/>
                <w:spacing w:val="0"/>
                <w:sz w:val="18"/>
                <w:szCs w:val="18"/>
              </w:rPr>
            </w:pPr>
          </w:p>
        </w:tc>
      </w:tr>
      <w:tr>
        <w:tblPrEx>
          <w:tblCellMar>
            <w:top w:w="0" w:type="dxa"/>
            <w:left w:w="0" w:type="dxa"/>
            <w:bottom w:w="0" w:type="dxa"/>
            <w:right w:w="0" w:type="dxa"/>
          </w:tblCellMar>
        </w:tblPrEx>
        <w:trPr>
          <w:trHeight w:val="405" w:hRule="atLeast"/>
        </w:trPr>
        <w:tc>
          <w:tcPr>
            <w:tcW w:w="108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8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政治经济学</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博士研究生</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95"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教师</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44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1</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 w:type="dxa"/>
            <w:tcBorders>
              <w:top w:val="nil"/>
              <w:left w:val="nil"/>
              <w:bottom w:val="nil"/>
              <w:right w:val="nil"/>
            </w:tcBorders>
            <w:shd w:val="clear"/>
            <w:vAlign w:val="center"/>
          </w:tcPr>
          <w:p>
            <w:pPr>
              <w:rPr>
                <w:rFonts w:hint="eastAsia" w:ascii="宋体" w:hAnsi="宋体" w:eastAsia="宋体" w:cs="宋体"/>
                <w:i w:val="0"/>
                <w:caps w:val="0"/>
                <w:color w:val="000000"/>
                <w:spacing w:val="0"/>
                <w:sz w:val="18"/>
                <w:szCs w:val="18"/>
              </w:rPr>
            </w:pPr>
          </w:p>
        </w:tc>
      </w:tr>
      <w:tr>
        <w:tblPrEx>
          <w:tblCellMar>
            <w:top w:w="0" w:type="dxa"/>
            <w:left w:w="0" w:type="dxa"/>
            <w:bottom w:w="0" w:type="dxa"/>
            <w:right w:w="0" w:type="dxa"/>
          </w:tblCellMar>
        </w:tblPrEx>
        <w:trPr>
          <w:trHeight w:val="405" w:hRule="atLeast"/>
        </w:trPr>
        <w:tc>
          <w:tcPr>
            <w:tcW w:w="108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8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政治学</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博士研究生</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95"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教师</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44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3</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 w:type="dxa"/>
            <w:tcBorders>
              <w:top w:val="nil"/>
              <w:left w:val="nil"/>
              <w:bottom w:val="nil"/>
              <w:right w:val="nil"/>
            </w:tcBorders>
            <w:shd w:val="clear"/>
            <w:vAlign w:val="center"/>
          </w:tcPr>
          <w:p>
            <w:pPr>
              <w:rPr>
                <w:rFonts w:hint="eastAsia" w:ascii="宋体" w:hAnsi="宋体" w:eastAsia="宋体" w:cs="宋体"/>
                <w:i w:val="0"/>
                <w:caps w:val="0"/>
                <w:color w:val="000000"/>
                <w:spacing w:val="0"/>
                <w:sz w:val="18"/>
                <w:szCs w:val="18"/>
              </w:rPr>
            </w:pPr>
          </w:p>
        </w:tc>
      </w:tr>
      <w:tr>
        <w:tblPrEx>
          <w:tblCellMar>
            <w:top w:w="0" w:type="dxa"/>
            <w:left w:w="0" w:type="dxa"/>
            <w:bottom w:w="0" w:type="dxa"/>
            <w:right w:w="0" w:type="dxa"/>
          </w:tblCellMar>
        </w:tblPrEx>
        <w:trPr>
          <w:trHeight w:val="405" w:hRule="atLeast"/>
        </w:trPr>
        <w:tc>
          <w:tcPr>
            <w:tcW w:w="108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8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课程与教学论</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博士研究生</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95"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教师</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44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1</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 w:type="dxa"/>
            <w:tcBorders>
              <w:top w:val="nil"/>
              <w:left w:val="nil"/>
              <w:bottom w:val="nil"/>
              <w:right w:val="nil"/>
            </w:tcBorders>
            <w:shd w:val="clear"/>
            <w:vAlign w:val="center"/>
          </w:tcPr>
          <w:p>
            <w:pPr>
              <w:rPr>
                <w:rFonts w:hint="eastAsia" w:ascii="宋体" w:hAnsi="宋体" w:eastAsia="宋体" w:cs="宋体"/>
                <w:i w:val="0"/>
                <w:caps w:val="0"/>
                <w:color w:val="000000"/>
                <w:spacing w:val="0"/>
                <w:sz w:val="18"/>
                <w:szCs w:val="18"/>
              </w:rPr>
            </w:pPr>
          </w:p>
        </w:tc>
      </w:tr>
      <w:tr>
        <w:tblPrEx>
          <w:tblCellMar>
            <w:top w:w="0" w:type="dxa"/>
            <w:left w:w="0" w:type="dxa"/>
            <w:bottom w:w="0" w:type="dxa"/>
            <w:right w:w="0" w:type="dxa"/>
          </w:tblCellMar>
        </w:tblPrEx>
        <w:trPr>
          <w:trHeight w:val="405" w:hRule="atLeast"/>
        </w:trPr>
        <w:tc>
          <w:tcPr>
            <w:tcW w:w="108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8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思想政治教育</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博士研究生</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95"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教师</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44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1</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 w:type="dxa"/>
            <w:tcBorders>
              <w:top w:val="nil"/>
              <w:left w:val="nil"/>
              <w:bottom w:val="nil"/>
              <w:right w:val="nil"/>
            </w:tcBorders>
            <w:shd w:val="clear"/>
            <w:vAlign w:val="center"/>
          </w:tcPr>
          <w:p>
            <w:pPr>
              <w:rPr>
                <w:rFonts w:hint="eastAsia" w:ascii="宋体" w:hAnsi="宋体" w:eastAsia="宋体" w:cs="宋体"/>
                <w:i w:val="0"/>
                <w:caps w:val="0"/>
                <w:color w:val="000000"/>
                <w:spacing w:val="0"/>
                <w:sz w:val="18"/>
                <w:szCs w:val="18"/>
              </w:rPr>
            </w:pPr>
          </w:p>
        </w:tc>
      </w:tr>
      <w:tr>
        <w:tblPrEx>
          <w:tblCellMar>
            <w:top w:w="0" w:type="dxa"/>
            <w:left w:w="0" w:type="dxa"/>
            <w:bottom w:w="0" w:type="dxa"/>
            <w:right w:w="0" w:type="dxa"/>
          </w:tblCellMar>
        </w:tblPrEx>
        <w:trPr>
          <w:trHeight w:val="405" w:hRule="atLeast"/>
        </w:trPr>
        <w:tc>
          <w:tcPr>
            <w:tcW w:w="108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8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法学</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博士研究生</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95"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教师</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44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3</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 w:type="dxa"/>
            <w:tcBorders>
              <w:top w:val="nil"/>
              <w:left w:val="nil"/>
              <w:bottom w:val="nil"/>
              <w:right w:val="nil"/>
            </w:tcBorders>
            <w:shd w:val="clear"/>
            <w:vAlign w:val="center"/>
          </w:tcPr>
          <w:p>
            <w:pPr>
              <w:rPr>
                <w:rFonts w:hint="eastAsia" w:ascii="宋体" w:hAnsi="宋体" w:eastAsia="宋体" w:cs="宋体"/>
                <w:i w:val="0"/>
                <w:caps w:val="0"/>
                <w:color w:val="000000"/>
                <w:spacing w:val="0"/>
                <w:sz w:val="18"/>
                <w:szCs w:val="18"/>
              </w:rPr>
            </w:pPr>
          </w:p>
        </w:tc>
      </w:tr>
      <w:tr>
        <w:tblPrEx>
          <w:tblCellMar>
            <w:top w:w="0" w:type="dxa"/>
            <w:left w:w="0" w:type="dxa"/>
            <w:bottom w:w="0" w:type="dxa"/>
            <w:right w:w="0" w:type="dxa"/>
          </w:tblCellMar>
        </w:tblPrEx>
        <w:trPr>
          <w:trHeight w:val="405" w:hRule="atLeast"/>
        </w:trPr>
        <w:tc>
          <w:tcPr>
            <w:tcW w:w="108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8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金融学</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博士研究生</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95"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教师</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44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1</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 w:type="dxa"/>
            <w:tcBorders>
              <w:top w:val="nil"/>
              <w:left w:val="nil"/>
              <w:bottom w:val="nil"/>
              <w:right w:val="nil"/>
            </w:tcBorders>
            <w:shd w:val="clear"/>
            <w:vAlign w:val="center"/>
          </w:tcPr>
          <w:p>
            <w:pPr>
              <w:rPr>
                <w:rFonts w:hint="eastAsia" w:ascii="宋体" w:hAnsi="宋体" w:eastAsia="宋体" w:cs="宋体"/>
                <w:i w:val="0"/>
                <w:caps w:val="0"/>
                <w:color w:val="000000"/>
                <w:spacing w:val="0"/>
                <w:sz w:val="18"/>
                <w:szCs w:val="18"/>
              </w:rPr>
            </w:pPr>
          </w:p>
        </w:tc>
      </w:tr>
      <w:tr>
        <w:tblPrEx>
          <w:tblCellMar>
            <w:top w:w="0" w:type="dxa"/>
            <w:left w:w="0" w:type="dxa"/>
            <w:bottom w:w="0" w:type="dxa"/>
            <w:right w:w="0" w:type="dxa"/>
          </w:tblCellMar>
        </w:tblPrEx>
        <w:trPr>
          <w:trHeight w:val="405" w:hRule="atLeast"/>
        </w:trPr>
        <w:tc>
          <w:tcPr>
            <w:tcW w:w="108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i w:val="0"/>
                <w:caps w:val="0"/>
                <w:color w:val="000000"/>
                <w:spacing w:val="0"/>
                <w:sz w:val="18"/>
                <w:szCs w:val="18"/>
              </w:rPr>
            </w:pPr>
          </w:p>
        </w:tc>
        <w:tc>
          <w:tcPr>
            <w:tcW w:w="138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管理学</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博士研究生</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社会保障、行政管理</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395"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教师</w:t>
            </w:r>
          </w:p>
          <w:p>
            <w:pPr>
              <w:keepNext w:val="0"/>
              <w:keepLines w:val="0"/>
              <w:widowControl/>
              <w:suppressLineNumbers w:val="0"/>
              <w:jc w:val="left"/>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144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435" w:lineRule="atLeast"/>
              <w:ind w:left="0" w:right="0"/>
              <w:jc w:val="center"/>
              <w:textAlignment w:val="center"/>
            </w:pPr>
            <w:r>
              <w:rPr>
                <w:rFonts w:hint="eastAsia" w:ascii="宋体" w:hAnsi="宋体" w:eastAsia="宋体" w:cs="宋体"/>
                <w:i w:val="0"/>
                <w:caps w:val="0"/>
                <w:color w:val="000000"/>
                <w:spacing w:val="0"/>
                <w:kern w:val="0"/>
                <w:sz w:val="16"/>
                <w:szCs w:val="16"/>
                <w:lang w:val="en-US" w:eastAsia="zh-CN" w:bidi="ar"/>
              </w:rPr>
              <w:t>2</w:t>
            </w:r>
          </w:p>
        </w:tc>
        <w:tc>
          <w:tcPr>
            <w:tcW w:w="0" w:type="auto"/>
            <w:shd w:val="clear"/>
            <w:vAlign w:val="center"/>
          </w:tcPr>
          <w:p>
            <w:pPr>
              <w:rPr>
                <w:rFonts w:hint="eastAsia" w:ascii="宋体" w:hAnsi="宋体" w:eastAsia="宋体" w:cs="宋体"/>
                <w:i w:val="0"/>
                <w:caps w:val="0"/>
                <w:color w:val="000000"/>
                <w:spacing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27C18"/>
    <w:rsid w:val="56327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2020-04-08T03:00:00Z</dcterms:created>
  <dc:creator>不栉进士-小娜娜</dc:creator>
  <cp:lastModifiedBy>不栉进士-小娜娜</cp:lastModifiedBy>
  <dcterms:modified xsi:type="dcterms:W3CDTF">2020-04-08T03:02:52Z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