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505" w:rsidRPr="0088217E" w:rsidRDefault="00CD5505" w:rsidP="00CD5505">
      <w:pPr>
        <w:widowControl/>
        <w:jc w:val="left"/>
        <w:rPr>
          <w:rFonts w:ascii="宋体" w:eastAsia="宋体" w:hAnsi="宋体" w:cs="宋体"/>
          <w:b/>
          <w:color w:val="4F81BD" w:themeColor="accent1"/>
          <w:kern w:val="0"/>
          <w:sz w:val="3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217E">
        <w:rPr>
          <w:rFonts w:ascii="宋体" w:eastAsia="宋体" w:hAnsi="宋体" w:cs="宋体"/>
          <w:b/>
          <w:color w:val="4F81BD" w:themeColor="accent1"/>
          <w:kern w:val="0"/>
          <w:sz w:val="3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首席教授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spacing w:val="23"/>
          <w:kern w:val="0"/>
          <w:szCs w:val="21"/>
        </w:rPr>
        <w:t>年薪100万元（税前），另加科研奖励；安家费400万（税前）；科研启动经费自然科学（实验类300万，非实验类150万）、人文社会科学50万元。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spacing w:val="23"/>
          <w:kern w:val="0"/>
          <w:szCs w:val="21"/>
        </w:rPr>
        <w:t>根据需要提供学科平台建设经费，配备团队、实验室，一事一议；职称聘为教授；协助解决配偶工作及义务教育阶段孩子入学事宜。</w:t>
      </w:r>
    </w:p>
    <w:p w:rsidR="00CD5505" w:rsidRPr="0088217E" w:rsidRDefault="00CD5505" w:rsidP="00CD5505">
      <w:pPr>
        <w:widowControl/>
        <w:ind w:firstLineChars="200" w:firstLine="480"/>
        <w:jc w:val="left"/>
        <w:rPr>
          <w:rFonts w:ascii="宋体" w:eastAsia="宋体" w:hAnsi="宋体" w:cs="宋体"/>
          <w:b/>
          <w:color w:val="4F81BD" w:themeColor="accent1"/>
          <w:kern w:val="0"/>
          <w:sz w:val="32"/>
          <w:szCs w:val="24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88217E">
        <w:rPr>
          <w:rFonts w:ascii="宋体" w:eastAsia="宋体" w:hAnsi="宋体" w:cs="宋体"/>
          <w:kern w:val="0"/>
          <w:sz w:val="24"/>
          <w:szCs w:val="24"/>
        </w:rPr>
        <w:br/>
      </w:r>
      <w:r w:rsidRPr="0088217E">
        <w:rPr>
          <w:rFonts w:ascii="宋体" w:eastAsia="宋体" w:hAnsi="宋体" w:cs="宋体"/>
          <w:b/>
          <w:color w:val="4F81BD" w:themeColor="accent1"/>
          <w:kern w:val="0"/>
          <w:sz w:val="3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特聘教授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b/>
          <w:bCs/>
          <w:spacing w:val="23"/>
          <w:kern w:val="0"/>
          <w:szCs w:val="21"/>
        </w:rPr>
        <w:t>1. 特聘教授一层次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spacing w:val="23"/>
          <w:kern w:val="0"/>
          <w:szCs w:val="21"/>
        </w:rPr>
        <w:t>年收入60万元（税前）加科研奖励；安家费350万（税前）；科研启动经费自然科学（实验类200万，非实验类100万）、人文社会科学40万元；并根据需要提供学科平台建设经费，配备团队、实验室，一事一议；经同行专家评议和学校研究，符合要求者聘为教授；协助解决配偶工作及义务教育阶段孩子入学事宜。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b/>
          <w:bCs/>
          <w:spacing w:val="23"/>
          <w:kern w:val="0"/>
          <w:szCs w:val="21"/>
        </w:rPr>
        <w:t>2. 特聘教授二层次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spacing w:val="23"/>
          <w:kern w:val="0"/>
          <w:szCs w:val="21"/>
        </w:rPr>
        <w:t>年收入55万元（税前）加科研奖励；安家费150万元（税前）；科研启动经费自然科学（实验类100万，非实验类60万）、人文社会科学30万元；经同行专家评议和学校研究，符合要求者聘为教授；协助解决配偶工作及义务教育阶段孩子入学事宜。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b/>
          <w:bCs/>
          <w:spacing w:val="23"/>
          <w:kern w:val="0"/>
          <w:szCs w:val="21"/>
        </w:rPr>
        <w:t>3. 特聘教授三层次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spacing w:val="23"/>
          <w:kern w:val="0"/>
          <w:szCs w:val="21"/>
        </w:rPr>
        <w:t>年收入50万元（税前）加科研奖励；安家费80万元（税前）；科研启动经费自然科学（实验类50万，非实验类30万）、人文社会科学20万元；经同行专家评议和学校研究，符合要求者聘为教授。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b/>
          <w:bCs/>
          <w:spacing w:val="23"/>
          <w:kern w:val="0"/>
          <w:szCs w:val="21"/>
        </w:rPr>
        <w:lastRenderedPageBreak/>
        <w:t>4. 特聘教授四层次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spacing w:val="23"/>
          <w:kern w:val="0"/>
          <w:szCs w:val="21"/>
        </w:rPr>
        <w:t>年收入38万元（税前）加科研奖励；安家费50万元（税前）；科研启动经费自然科学（实验类30万，非实验类20万）、人文社会科学10万元；经同行专家评议和学校研究，符合要求者聘为副教授。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b/>
          <w:bCs/>
          <w:spacing w:val="23"/>
          <w:kern w:val="0"/>
          <w:szCs w:val="21"/>
        </w:rPr>
        <w:t>5. 特聘教授五层次</w:t>
      </w:r>
    </w:p>
    <w:p w:rsidR="00CD5505" w:rsidRPr="0088217E" w:rsidRDefault="00CD5505" w:rsidP="00CD5505">
      <w:pPr>
        <w:widowControl/>
        <w:spacing w:line="480" w:lineRule="atLeast"/>
        <w:ind w:firstLine="480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spacing w:val="23"/>
          <w:kern w:val="0"/>
          <w:szCs w:val="21"/>
        </w:rPr>
        <w:t>年收入33万元（税前）加科研奖励；安家费30万元（税前）；科研启动经费自然科学（实验类15万，非实验类10万）、人文社会科学5万元；经同行专家评议和学校研究，符合要求者聘为副教授。</w:t>
      </w:r>
    </w:p>
    <w:p w:rsidR="00CD5505" w:rsidRPr="0088217E" w:rsidRDefault="00CD5505" w:rsidP="00CD550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8217E">
        <w:rPr>
          <w:rFonts w:ascii="宋体" w:eastAsia="宋体" w:hAnsi="宋体" w:cs="宋体"/>
          <w:kern w:val="0"/>
          <w:sz w:val="24"/>
          <w:szCs w:val="24"/>
        </w:rPr>
        <w:t>03</w:t>
      </w:r>
      <w:r w:rsidRPr="0088217E">
        <w:rPr>
          <w:rFonts w:ascii="宋体" w:eastAsia="宋体" w:hAnsi="宋体" w:cs="宋体"/>
          <w:kern w:val="0"/>
          <w:sz w:val="24"/>
          <w:szCs w:val="24"/>
        </w:rPr>
        <w:br/>
      </w:r>
    </w:p>
    <w:p w:rsidR="00CD5505" w:rsidRPr="0088217E" w:rsidRDefault="00CD5505" w:rsidP="00CD5505">
      <w:pPr>
        <w:widowControl/>
        <w:jc w:val="left"/>
        <w:rPr>
          <w:rFonts w:ascii="宋体" w:eastAsia="宋体" w:hAnsi="宋体" w:cs="宋体"/>
          <w:b/>
          <w:color w:val="4F81BD" w:themeColor="accent1"/>
          <w:kern w:val="0"/>
          <w:sz w:val="3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A119B">
        <w:rPr>
          <w:rFonts w:ascii="宋体" w:eastAsia="宋体" w:hAnsi="宋体" w:cs="宋体" w:hint="eastAsia"/>
          <w:b/>
          <w:color w:val="4F81BD" w:themeColor="accent1"/>
          <w:kern w:val="0"/>
          <w:sz w:val="3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青年卓越人才</w:t>
      </w:r>
    </w:p>
    <w:p w:rsidR="00CD5505" w:rsidRPr="0088217E" w:rsidRDefault="00CD5505" w:rsidP="00CD5505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spacing w:val="23"/>
          <w:kern w:val="0"/>
          <w:szCs w:val="21"/>
        </w:rPr>
        <w:t>年收入25万元（税前）加科研奖励；安家费20万元（税前）；科研启动经费自然科学5万、人文社会科学2万元。</w:t>
      </w:r>
    </w:p>
    <w:p w:rsidR="00CD5505" w:rsidRPr="004276EA" w:rsidRDefault="00CD5505" w:rsidP="00CD5505">
      <w:pPr>
        <w:widowControl/>
        <w:jc w:val="left"/>
        <w:rPr>
          <w:rFonts w:ascii="宋体" w:eastAsia="宋体" w:hAnsi="宋体" w:cs="宋体"/>
          <w:b/>
          <w:color w:val="4F81BD" w:themeColor="accent1"/>
          <w:kern w:val="0"/>
          <w:sz w:val="3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88217E">
        <w:rPr>
          <w:rFonts w:ascii="宋体" w:eastAsia="宋体" w:hAnsi="宋体" w:cs="宋体"/>
          <w:kern w:val="0"/>
          <w:sz w:val="24"/>
          <w:szCs w:val="24"/>
        </w:rPr>
        <w:br/>
      </w:r>
      <w:r w:rsidRPr="004276EA">
        <w:rPr>
          <w:rFonts w:ascii="宋体" w:eastAsia="宋体" w:hAnsi="宋体" w:cs="宋体"/>
          <w:b/>
          <w:color w:val="4F81BD" w:themeColor="accent1"/>
          <w:kern w:val="0"/>
          <w:sz w:val="32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青年博士</w:t>
      </w:r>
    </w:p>
    <w:p w:rsidR="00CD5505" w:rsidRPr="0088217E" w:rsidRDefault="00CD5505" w:rsidP="00CD5505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spacing w:val="23"/>
          <w:kern w:val="0"/>
          <w:sz w:val="24"/>
          <w:szCs w:val="24"/>
        </w:rPr>
      </w:pPr>
      <w:r w:rsidRPr="0088217E">
        <w:rPr>
          <w:rFonts w:ascii="微软雅黑" w:eastAsia="微软雅黑" w:hAnsi="微软雅黑" w:cs="宋体" w:hint="eastAsia"/>
          <w:spacing w:val="23"/>
          <w:kern w:val="0"/>
          <w:szCs w:val="21"/>
        </w:rPr>
        <w:t>国家政策性工资加科研奖励；学校提供安家费2000元/月，累计发放36个月；科研启动经费自然科学3万、人文社会科学1万元。</w:t>
      </w:r>
    </w:p>
    <w:p w:rsidR="00CD5505" w:rsidRPr="00CA119B" w:rsidRDefault="00CD5505" w:rsidP="00CD5505">
      <w:pPr>
        <w:pStyle w:val="a5"/>
        <w:spacing w:before="0" w:beforeAutospacing="0" w:after="0" w:afterAutospacing="0"/>
        <w:rPr>
          <w:color w:val="FF0000"/>
        </w:rPr>
      </w:pPr>
      <w:r w:rsidRPr="00CA119B">
        <w:rPr>
          <w:color w:val="FF0000"/>
        </w:rPr>
        <w:t>注：</w:t>
      </w:r>
    </w:p>
    <w:p w:rsidR="00CD5505" w:rsidRPr="00CA119B" w:rsidRDefault="00CD5505" w:rsidP="00CD5505">
      <w:pPr>
        <w:pStyle w:val="a5"/>
        <w:spacing w:before="0" w:beforeAutospacing="0" w:after="0" w:afterAutospacing="0" w:line="480" w:lineRule="atLeast"/>
        <w:ind w:firstLine="480"/>
        <w:rPr>
          <w:rFonts w:ascii="微软雅黑" w:eastAsia="微软雅黑" w:hAnsi="微软雅黑"/>
          <w:color w:val="FF0000"/>
          <w:spacing w:val="23"/>
          <w:sz w:val="21"/>
          <w:szCs w:val="21"/>
        </w:rPr>
      </w:pPr>
      <w:r w:rsidRPr="00CA119B">
        <w:rPr>
          <w:rFonts w:ascii="微软雅黑" w:eastAsia="微软雅黑" w:hAnsi="微软雅黑" w:hint="eastAsia"/>
          <w:color w:val="FF0000"/>
          <w:spacing w:val="23"/>
          <w:sz w:val="21"/>
          <w:szCs w:val="21"/>
        </w:rPr>
        <w:t>引进人才还可按条件对应申报国家、青岛市、学校各类人才计划，具有国家级或省部级人才称号的引进人才，可申报青岛市引进高层次人才一次性30万—100万住房补贴，首次在</w:t>
      </w:r>
      <w:proofErr w:type="gramStart"/>
      <w:r w:rsidRPr="00CA119B">
        <w:rPr>
          <w:rFonts w:ascii="微软雅黑" w:eastAsia="微软雅黑" w:hAnsi="微软雅黑" w:hint="eastAsia"/>
          <w:color w:val="FF0000"/>
          <w:spacing w:val="23"/>
          <w:sz w:val="21"/>
          <w:szCs w:val="21"/>
        </w:rPr>
        <w:t>青就业</w:t>
      </w:r>
      <w:proofErr w:type="gramEnd"/>
      <w:r w:rsidRPr="00CA119B">
        <w:rPr>
          <w:rFonts w:ascii="微软雅黑" w:eastAsia="微软雅黑" w:hAnsi="微软雅黑" w:hint="eastAsia"/>
          <w:color w:val="FF0000"/>
          <w:spacing w:val="23"/>
          <w:sz w:val="21"/>
          <w:szCs w:val="21"/>
        </w:rPr>
        <w:t>的青年博士均可享受青岛市1200元/月，累计发放36个月的住房补贴。</w:t>
      </w:r>
    </w:p>
    <w:p w:rsidR="00CD3837" w:rsidRPr="00CD5505" w:rsidRDefault="00CD3837">
      <w:bookmarkStart w:id="0" w:name="_GoBack"/>
      <w:bookmarkEnd w:id="0"/>
    </w:p>
    <w:sectPr w:rsidR="00CD3837" w:rsidRPr="00CD5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505" w:rsidRDefault="00CD5505" w:rsidP="00CD5505">
      <w:r>
        <w:separator/>
      </w:r>
    </w:p>
  </w:endnote>
  <w:endnote w:type="continuationSeparator" w:id="0">
    <w:p w:rsidR="00CD5505" w:rsidRDefault="00CD5505" w:rsidP="00CD5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505" w:rsidRDefault="00CD5505" w:rsidP="00CD5505">
      <w:r>
        <w:separator/>
      </w:r>
    </w:p>
  </w:footnote>
  <w:footnote w:type="continuationSeparator" w:id="0">
    <w:p w:rsidR="00CD5505" w:rsidRDefault="00CD5505" w:rsidP="00CD5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80"/>
    <w:rsid w:val="00427680"/>
    <w:rsid w:val="00CD3837"/>
    <w:rsid w:val="00C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50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5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5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5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5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5505"/>
    <w:rPr>
      <w:sz w:val="18"/>
      <w:szCs w:val="18"/>
    </w:rPr>
  </w:style>
  <w:style w:type="paragraph" w:styleId="a5">
    <w:name w:val="Normal (Web)"/>
    <w:basedOn w:val="a"/>
    <w:uiPriority w:val="99"/>
    <w:unhideWhenUsed/>
    <w:rsid w:val="00CD55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2020-03-03T15:53:00Z</dcterms:created>
  <dcterms:modified xsi:type="dcterms:W3CDTF">2020-03-03T15:53:00Z</dcterms:modified>
</cp:coreProperties>
</file>