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附件1：夏津城投热力投资运营有限公司岗位及资格条件一览表</w:t>
      </w:r>
    </w:p>
    <w:tbl>
      <w:tblPr>
        <w:tblStyle w:val="6"/>
        <w:tblW w:w="15217" w:type="dxa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673"/>
        <w:gridCol w:w="748"/>
        <w:gridCol w:w="911"/>
        <w:gridCol w:w="7306"/>
        <w:gridCol w:w="2100"/>
        <w:gridCol w:w="3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tblHeader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序号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部门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职位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招聘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人数</w:t>
            </w:r>
          </w:p>
        </w:tc>
        <w:tc>
          <w:tcPr>
            <w:tcW w:w="7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28"/>
                <w:szCs w:val="28"/>
              </w:rPr>
              <w:t>专业要求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岗位说明</w:t>
            </w:r>
          </w:p>
        </w:tc>
        <w:tc>
          <w:tcPr>
            <w:tcW w:w="3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管理层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职业经理人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以专科学历报考的：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建设工程管理类、工商管理类、公共管理类、热能与发电工程类；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以本科学历报考的：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管理科学与工程类、工商管理类、公共管理类；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以研究生学历报考的：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管理科学与工程一级学科、工商管理一级学科、公共管理一级学科。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负责公司日常运营和工程管理工作。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1.年龄不超过45周岁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（197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日以后出生）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，大专以上学历。</w:t>
            </w:r>
          </w:p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2.熟悉供热工程、运营等业务内容和工作流程。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行政部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业务人员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以专科学历报考的：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计算机类、新闻出版类、文秘类、公共管理类、语言类；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以本科学历报考的：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新闻传播学类、计算机类、公共管理类、图书情报与档案管理类、中国语言文学类；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以研究生学历报考的：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中国语言文学一级学科、新闻传播学一级学科、计算机科学与技术一级学科、公共管理一级学科、图书馆、情报与档案管理一级学科。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负责公司行政文秘、人事、后勤、档案管理等工作。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1.年龄不超过35周岁（1984年11月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日以后出生），大专以上学历。</w:t>
            </w:r>
          </w:p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2.熟练运用办公软件，具有良好的表达和写作能力。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财务部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业务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以专科学历报考的：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财政税务类、财务会计类、统计类、金融类；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以本科学历报考的：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经济学类、财政学类、金融学类；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以研究生学历报考的：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应用经济学一级学科。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负责公司的财务管理、预算管理、会计核算、内部控制等。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1.年龄不超过35周岁（1984年11月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日以后出生），大专以上学历。</w:t>
            </w:r>
          </w:p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2.熟练掌握财务软件。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4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工程运营部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业务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8</w:t>
            </w: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以专科学历报考的：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建设工程管理类、电力技术类、热能与发电工程类、城乡规划与管理类、土建施工类、建筑设备类、建设工程管理类、市政工程类、机械设计制造类、机电设备类、自动化类；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以本科学历报考的：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管理科学与工程类、机械类、电气类、自动化类、土木类；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4"/>
              </w:rPr>
              <w:t>以研究生学历报考的：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机械工程一级学科、动力工程及工程热物理一级学科、电气工程一级学科、土木工程一级学科。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负责工程维修、物料管理、施工管理、调度、招标、巡检、日常维护、运行检测、收费等。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1.年龄不超过35周岁（1984年11月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日以后出生），大专以上学历。</w:t>
            </w:r>
          </w:p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2.熟悉工程维修、物料管理、施工管理、调度、招标、巡检、日常维护、运行检测、收费等业务内容和工作流程。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</w:tbl>
    <w:p/>
    <w:sectPr>
      <w:pgSz w:w="16838" w:h="11906" w:orient="landscape"/>
      <w:pgMar w:top="851" w:right="1134" w:bottom="454" w:left="1134" w:header="851" w:footer="992" w:gutter="0"/>
      <w:cols w:space="72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E6"/>
    <w:rsid w:val="001D4393"/>
    <w:rsid w:val="003F7F77"/>
    <w:rsid w:val="00485508"/>
    <w:rsid w:val="00736CE6"/>
    <w:rsid w:val="007D5671"/>
    <w:rsid w:val="009B1171"/>
    <w:rsid w:val="00AF501B"/>
    <w:rsid w:val="00FD6405"/>
    <w:rsid w:val="37535CB1"/>
    <w:rsid w:val="5E9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rFonts w:ascii="Calibri" w:hAnsi="Calibri" w:eastAsia="仿宋_GB2312" w:cs="仿宋_GB2312"/>
      <w:sz w:val="32"/>
      <w:szCs w:val="24"/>
    </w:rPr>
  </w:style>
  <w:style w:type="character" w:customStyle="1" w:styleId="11">
    <w:name w:val="正文首行缩进 2 Char"/>
    <w:basedOn w:val="10"/>
    <w:link w:val="2"/>
    <w:semiHidden/>
    <w:qFormat/>
    <w:uiPriority w:val="99"/>
    <w:rPr>
      <w:rFonts w:ascii="Calibri" w:hAnsi="Calibri" w:eastAsia="仿宋_GB2312" w:cs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861</Characters>
  <Lines>7</Lines>
  <Paragraphs>2</Paragraphs>
  <TotalTime>1</TotalTime>
  <ScaleCrop>false</ScaleCrop>
  <LinksUpToDate>false</LinksUpToDate>
  <CharactersWithSpaces>1009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2019-11-01T05:53:00Z</dcterms:created>
  <dc:creator>办公室</dc:creator>
  <cp:lastModifiedBy>张翠</cp:lastModifiedBy>
  <dcterms:modified xsi:type="dcterms:W3CDTF">2019-11-05T01:26:32Z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